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4CA" w:rsidRDefault="007D181F" w:rsidP="007D181F">
      <w:pPr>
        <w:pStyle w:val="NoSpacing"/>
        <w:jc w:val="center"/>
        <w:rPr>
          <w:b/>
          <w:sz w:val="52"/>
        </w:rPr>
      </w:pPr>
      <w:r>
        <w:rPr>
          <w:b/>
          <w:sz w:val="52"/>
        </w:rPr>
        <w:t>Compte-rendu annuel USA</w:t>
      </w:r>
    </w:p>
    <w:p w:rsidR="007D181F" w:rsidRPr="007D181F" w:rsidRDefault="007D181F" w:rsidP="007D181F">
      <w:pPr>
        <w:pStyle w:val="NoSpacing"/>
        <w:jc w:val="center"/>
        <w:rPr>
          <w:b/>
          <w:sz w:val="52"/>
        </w:rPr>
      </w:pPr>
      <w:r>
        <w:rPr>
          <w:b/>
          <w:sz w:val="52"/>
        </w:rPr>
        <w:t>Post-</w:t>
      </w:r>
      <w:r w:rsidR="00685C03">
        <w:rPr>
          <w:b/>
          <w:sz w:val="52"/>
        </w:rPr>
        <w:t>octobre</w:t>
      </w:r>
    </w:p>
    <w:p w:rsidR="007D181F" w:rsidRPr="00685C03" w:rsidRDefault="007D181F" w:rsidP="007D181F">
      <w:pPr>
        <w:pStyle w:val="NoSpacing"/>
        <w:rPr>
          <w:sz w:val="18"/>
        </w:rPr>
      </w:pPr>
    </w:p>
    <w:p w:rsidR="007D181F" w:rsidRDefault="007D181F" w:rsidP="007D181F">
      <w:pPr>
        <w:pStyle w:val="NoSpacing"/>
        <w:jc w:val="center"/>
        <w:rPr>
          <w:b/>
          <w:sz w:val="32"/>
          <w:u w:val="single"/>
        </w:rPr>
      </w:pPr>
      <w:r>
        <w:rPr>
          <w:b/>
          <w:sz w:val="32"/>
          <w:u w:val="single"/>
        </w:rPr>
        <w:t>Meilleures ventes par consoles pour le premier semestre</w:t>
      </w:r>
    </w:p>
    <w:p w:rsidR="007D181F" w:rsidRDefault="007D181F" w:rsidP="007D181F">
      <w:pPr>
        <w:pStyle w:val="NoSpacing"/>
        <w:jc w:val="center"/>
        <w:rPr>
          <w:b/>
          <w:sz w:val="32"/>
          <w:u w:val="single"/>
        </w:rPr>
      </w:pPr>
      <w:r>
        <w:rPr>
          <w:b/>
          <w:sz w:val="32"/>
          <w:u w:val="single"/>
        </w:rPr>
        <w:t>(De janvier à juin 2009)</w:t>
      </w:r>
    </w:p>
    <w:p w:rsidR="007D181F" w:rsidRDefault="007D181F" w:rsidP="007D181F">
      <w:pPr>
        <w:pStyle w:val="NoSpacing"/>
        <w:rPr>
          <w:sz w:val="24"/>
        </w:rPr>
      </w:pPr>
    </w:p>
    <w:tbl>
      <w:tblPr>
        <w:tblStyle w:val="MediumShading1-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2693"/>
        <w:gridCol w:w="2693"/>
        <w:gridCol w:w="2744"/>
      </w:tblGrid>
      <w:tr w:rsidR="007D181F" w:rsidTr="007D181F">
        <w:trPr>
          <w:cnfStyle w:val="100000000000"/>
          <w:jc w:val="center"/>
        </w:trPr>
        <w:tc>
          <w:tcPr>
            <w:cnfStyle w:val="001000000000"/>
            <w:tcW w:w="1044" w:type="dxa"/>
            <w:tcBorders>
              <w:top w:val="none" w:sz="0" w:space="0" w:color="auto"/>
              <w:left w:val="none" w:sz="0" w:space="0" w:color="auto"/>
              <w:bottom w:val="none" w:sz="0" w:space="0" w:color="auto"/>
              <w:right w:val="none" w:sz="0" w:space="0" w:color="auto"/>
            </w:tcBorders>
          </w:tcPr>
          <w:p w:rsidR="007D181F" w:rsidRDefault="007D181F" w:rsidP="007D181F">
            <w:pPr>
              <w:pStyle w:val="NoSpacing"/>
              <w:jc w:val="center"/>
              <w:rPr>
                <w:sz w:val="24"/>
              </w:rPr>
            </w:pPr>
            <w:r>
              <w:rPr>
                <w:sz w:val="24"/>
              </w:rPr>
              <w:t>Pos.</w:t>
            </w:r>
          </w:p>
        </w:tc>
        <w:tc>
          <w:tcPr>
            <w:tcW w:w="2693" w:type="dxa"/>
            <w:tcBorders>
              <w:top w:val="none" w:sz="0" w:space="0" w:color="auto"/>
              <w:left w:val="none" w:sz="0" w:space="0" w:color="auto"/>
              <w:bottom w:val="none" w:sz="0" w:space="0" w:color="auto"/>
              <w:right w:val="none" w:sz="0" w:space="0" w:color="auto"/>
            </w:tcBorders>
          </w:tcPr>
          <w:p w:rsidR="007D181F" w:rsidRDefault="007D181F" w:rsidP="007D181F">
            <w:pPr>
              <w:pStyle w:val="NoSpacing"/>
              <w:jc w:val="center"/>
              <w:cnfStyle w:val="100000000000"/>
              <w:rPr>
                <w:sz w:val="24"/>
              </w:rPr>
            </w:pPr>
            <w:r>
              <w:rPr>
                <w:sz w:val="24"/>
              </w:rPr>
              <w:t>PlayStation 3</w:t>
            </w:r>
          </w:p>
        </w:tc>
        <w:tc>
          <w:tcPr>
            <w:tcW w:w="2693" w:type="dxa"/>
            <w:tcBorders>
              <w:top w:val="none" w:sz="0" w:space="0" w:color="auto"/>
              <w:left w:val="none" w:sz="0" w:space="0" w:color="auto"/>
              <w:bottom w:val="none" w:sz="0" w:space="0" w:color="auto"/>
              <w:right w:val="none" w:sz="0" w:space="0" w:color="auto"/>
            </w:tcBorders>
          </w:tcPr>
          <w:p w:rsidR="007D181F" w:rsidRDefault="007D181F" w:rsidP="007D181F">
            <w:pPr>
              <w:pStyle w:val="NoSpacing"/>
              <w:jc w:val="center"/>
              <w:cnfStyle w:val="100000000000"/>
              <w:rPr>
                <w:sz w:val="24"/>
              </w:rPr>
            </w:pPr>
            <w:r>
              <w:rPr>
                <w:sz w:val="24"/>
              </w:rPr>
              <w:t>Xbox 360</w:t>
            </w:r>
          </w:p>
        </w:tc>
        <w:tc>
          <w:tcPr>
            <w:tcW w:w="2744" w:type="dxa"/>
            <w:tcBorders>
              <w:top w:val="none" w:sz="0" w:space="0" w:color="auto"/>
              <w:left w:val="none" w:sz="0" w:space="0" w:color="auto"/>
              <w:bottom w:val="none" w:sz="0" w:space="0" w:color="auto"/>
              <w:right w:val="none" w:sz="0" w:space="0" w:color="auto"/>
            </w:tcBorders>
          </w:tcPr>
          <w:p w:rsidR="007D181F" w:rsidRDefault="007D181F" w:rsidP="007D181F">
            <w:pPr>
              <w:pStyle w:val="NoSpacing"/>
              <w:jc w:val="center"/>
              <w:cnfStyle w:val="100000000000"/>
              <w:rPr>
                <w:sz w:val="24"/>
              </w:rPr>
            </w:pPr>
            <w:r>
              <w:rPr>
                <w:sz w:val="24"/>
              </w:rPr>
              <w:t>Wii</w:t>
            </w:r>
          </w:p>
        </w:tc>
      </w:tr>
      <w:tr w:rsidR="007D181F" w:rsidTr="007D181F">
        <w:trPr>
          <w:cnfStyle w:val="000000100000"/>
          <w:jc w:val="center"/>
        </w:trPr>
        <w:tc>
          <w:tcPr>
            <w:cnfStyle w:val="001000000000"/>
            <w:tcW w:w="1044" w:type="dxa"/>
            <w:tcBorders>
              <w:right w:val="none" w:sz="0" w:space="0" w:color="auto"/>
            </w:tcBorders>
          </w:tcPr>
          <w:p w:rsidR="007D181F" w:rsidRDefault="007D181F" w:rsidP="007D181F">
            <w:pPr>
              <w:pStyle w:val="NoSpacing"/>
              <w:jc w:val="center"/>
              <w:rPr>
                <w:sz w:val="24"/>
              </w:rPr>
            </w:pPr>
            <w:r>
              <w:rPr>
                <w:sz w:val="24"/>
              </w:rPr>
              <w:t>1</w:t>
            </w:r>
          </w:p>
        </w:tc>
        <w:tc>
          <w:tcPr>
            <w:tcW w:w="2693" w:type="dxa"/>
            <w:tcBorders>
              <w:left w:val="none" w:sz="0" w:space="0" w:color="auto"/>
              <w:right w:val="none" w:sz="0" w:space="0" w:color="auto"/>
            </w:tcBorders>
          </w:tcPr>
          <w:p w:rsidR="007D181F" w:rsidRPr="007D181F" w:rsidRDefault="007D181F" w:rsidP="007D181F">
            <w:pPr>
              <w:pStyle w:val="NoSpacing"/>
              <w:jc w:val="center"/>
              <w:cnfStyle w:val="000000100000"/>
              <w:rPr>
                <w:b/>
                <w:sz w:val="24"/>
              </w:rPr>
            </w:pPr>
            <w:r w:rsidRPr="007D181F">
              <w:rPr>
                <w:b/>
                <w:sz w:val="24"/>
              </w:rPr>
              <w:t>Killzone 2</w:t>
            </w:r>
          </w:p>
        </w:tc>
        <w:tc>
          <w:tcPr>
            <w:tcW w:w="2693" w:type="dxa"/>
            <w:tcBorders>
              <w:left w:val="none" w:sz="0" w:space="0" w:color="auto"/>
              <w:right w:val="none" w:sz="0" w:space="0" w:color="auto"/>
            </w:tcBorders>
          </w:tcPr>
          <w:p w:rsidR="007D181F" w:rsidRDefault="007D181F" w:rsidP="007D181F">
            <w:pPr>
              <w:pStyle w:val="NoSpacing"/>
              <w:jc w:val="center"/>
              <w:cnfStyle w:val="000000100000"/>
              <w:rPr>
                <w:sz w:val="24"/>
              </w:rPr>
            </w:pPr>
            <w:r>
              <w:rPr>
                <w:sz w:val="24"/>
              </w:rPr>
              <w:t>Resident Evil 5</w:t>
            </w:r>
          </w:p>
        </w:tc>
        <w:tc>
          <w:tcPr>
            <w:tcW w:w="2744" w:type="dxa"/>
            <w:tcBorders>
              <w:left w:val="none" w:sz="0" w:space="0" w:color="auto"/>
            </w:tcBorders>
          </w:tcPr>
          <w:p w:rsidR="007D181F" w:rsidRPr="007D181F" w:rsidRDefault="007D181F" w:rsidP="007D181F">
            <w:pPr>
              <w:pStyle w:val="NoSpacing"/>
              <w:jc w:val="center"/>
              <w:cnfStyle w:val="000000100000"/>
              <w:rPr>
                <w:b/>
                <w:sz w:val="24"/>
              </w:rPr>
            </w:pPr>
            <w:r w:rsidRPr="007D181F">
              <w:rPr>
                <w:b/>
                <w:sz w:val="24"/>
              </w:rPr>
              <w:t>Wii Fit</w:t>
            </w:r>
          </w:p>
        </w:tc>
      </w:tr>
      <w:tr w:rsidR="007D181F" w:rsidTr="007D181F">
        <w:trPr>
          <w:cnfStyle w:val="000000010000"/>
          <w:jc w:val="center"/>
        </w:trPr>
        <w:tc>
          <w:tcPr>
            <w:cnfStyle w:val="001000000000"/>
            <w:tcW w:w="1044" w:type="dxa"/>
            <w:tcBorders>
              <w:right w:val="none" w:sz="0" w:space="0" w:color="auto"/>
            </w:tcBorders>
          </w:tcPr>
          <w:p w:rsidR="007D181F" w:rsidRDefault="007D181F" w:rsidP="007D181F">
            <w:pPr>
              <w:pStyle w:val="NoSpacing"/>
              <w:jc w:val="center"/>
              <w:rPr>
                <w:sz w:val="24"/>
              </w:rPr>
            </w:pPr>
            <w:r>
              <w:rPr>
                <w:sz w:val="24"/>
              </w:rPr>
              <w:t>2</w:t>
            </w:r>
          </w:p>
        </w:tc>
        <w:tc>
          <w:tcPr>
            <w:tcW w:w="2693" w:type="dxa"/>
            <w:tcBorders>
              <w:left w:val="none" w:sz="0" w:space="0" w:color="auto"/>
              <w:right w:val="none" w:sz="0" w:space="0" w:color="auto"/>
            </w:tcBorders>
          </w:tcPr>
          <w:p w:rsidR="007D181F" w:rsidRDefault="007D181F" w:rsidP="007D181F">
            <w:pPr>
              <w:pStyle w:val="NoSpacing"/>
              <w:jc w:val="center"/>
              <w:cnfStyle w:val="000000010000"/>
              <w:rPr>
                <w:sz w:val="24"/>
              </w:rPr>
            </w:pPr>
            <w:r>
              <w:rPr>
                <w:sz w:val="24"/>
              </w:rPr>
              <w:t>Resident Evil 5</w:t>
            </w:r>
          </w:p>
        </w:tc>
        <w:tc>
          <w:tcPr>
            <w:tcW w:w="2693" w:type="dxa"/>
            <w:tcBorders>
              <w:left w:val="none" w:sz="0" w:space="0" w:color="auto"/>
              <w:right w:val="none" w:sz="0" w:space="0" w:color="auto"/>
            </w:tcBorders>
          </w:tcPr>
          <w:p w:rsidR="007D181F" w:rsidRDefault="007D181F" w:rsidP="007D181F">
            <w:pPr>
              <w:pStyle w:val="NoSpacing"/>
              <w:jc w:val="center"/>
              <w:cnfStyle w:val="000000010000"/>
              <w:rPr>
                <w:sz w:val="24"/>
              </w:rPr>
            </w:pPr>
            <w:r>
              <w:rPr>
                <w:sz w:val="24"/>
              </w:rPr>
              <w:t>UFC 2009 : Undisputed</w:t>
            </w:r>
          </w:p>
        </w:tc>
        <w:tc>
          <w:tcPr>
            <w:tcW w:w="2744" w:type="dxa"/>
            <w:tcBorders>
              <w:left w:val="none" w:sz="0" w:space="0" w:color="auto"/>
            </w:tcBorders>
          </w:tcPr>
          <w:p w:rsidR="007D181F" w:rsidRPr="007D181F" w:rsidRDefault="007D181F" w:rsidP="007D181F">
            <w:pPr>
              <w:pStyle w:val="NoSpacing"/>
              <w:jc w:val="center"/>
              <w:cnfStyle w:val="000000010000"/>
              <w:rPr>
                <w:b/>
                <w:sz w:val="24"/>
              </w:rPr>
            </w:pPr>
            <w:r w:rsidRPr="007D181F">
              <w:rPr>
                <w:b/>
                <w:sz w:val="24"/>
              </w:rPr>
              <w:t>Wii Play</w:t>
            </w:r>
          </w:p>
        </w:tc>
      </w:tr>
      <w:tr w:rsidR="007D181F" w:rsidRPr="007D181F" w:rsidTr="007D181F">
        <w:trPr>
          <w:cnfStyle w:val="000000100000"/>
          <w:jc w:val="center"/>
        </w:trPr>
        <w:tc>
          <w:tcPr>
            <w:cnfStyle w:val="001000000000"/>
            <w:tcW w:w="1044" w:type="dxa"/>
            <w:tcBorders>
              <w:right w:val="none" w:sz="0" w:space="0" w:color="auto"/>
            </w:tcBorders>
          </w:tcPr>
          <w:p w:rsidR="007D181F" w:rsidRDefault="007D181F" w:rsidP="007D181F">
            <w:pPr>
              <w:pStyle w:val="NoSpacing"/>
              <w:jc w:val="center"/>
              <w:rPr>
                <w:sz w:val="24"/>
              </w:rPr>
            </w:pPr>
            <w:r>
              <w:rPr>
                <w:sz w:val="24"/>
              </w:rPr>
              <w:t>3</w:t>
            </w:r>
          </w:p>
        </w:tc>
        <w:tc>
          <w:tcPr>
            <w:tcW w:w="2693" w:type="dxa"/>
            <w:tcBorders>
              <w:left w:val="none" w:sz="0" w:space="0" w:color="auto"/>
              <w:right w:val="none" w:sz="0" w:space="0" w:color="auto"/>
            </w:tcBorders>
          </w:tcPr>
          <w:p w:rsidR="007D181F" w:rsidRDefault="007D181F" w:rsidP="007D181F">
            <w:pPr>
              <w:pStyle w:val="NoSpacing"/>
              <w:jc w:val="center"/>
              <w:cnfStyle w:val="000000100000"/>
              <w:rPr>
                <w:sz w:val="24"/>
              </w:rPr>
            </w:pPr>
            <w:r>
              <w:rPr>
                <w:sz w:val="24"/>
              </w:rPr>
              <w:t>Street Fighter IV</w:t>
            </w:r>
          </w:p>
        </w:tc>
        <w:tc>
          <w:tcPr>
            <w:tcW w:w="2693" w:type="dxa"/>
            <w:tcBorders>
              <w:left w:val="none" w:sz="0" w:space="0" w:color="auto"/>
              <w:right w:val="none" w:sz="0" w:space="0" w:color="auto"/>
            </w:tcBorders>
          </w:tcPr>
          <w:p w:rsidR="007D181F" w:rsidRPr="007D181F" w:rsidRDefault="007D181F" w:rsidP="007D181F">
            <w:pPr>
              <w:pStyle w:val="NoSpacing"/>
              <w:jc w:val="center"/>
              <w:cnfStyle w:val="000000100000"/>
              <w:rPr>
                <w:sz w:val="24"/>
                <w:lang w:val="en-US"/>
              </w:rPr>
            </w:pPr>
            <w:r w:rsidRPr="007D181F">
              <w:rPr>
                <w:sz w:val="24"/>
                <w:lang w:val="en-US"/>
              </w:rPr>
              <w:t>Call of Duty :</w:t>
            </w:r>
            <w:r>
              <w:rPr>
                <w:sz w:val="24"/>
                <w:lang w:val="en-US"/>
              </w:rPr>
              <w:t xml:space="preserve"> WaW</w:t>
            </w:r>
          </w:p>
        </w:tc>
        <w:tc>
          <w:tcPr>
            <w:tcW w:w="2744" w:type="dxa"/>
            <w:tcBorders>
              <w:left w:val="none" w:sz="0" w:space="0" w:color="auto"/>
            </w:tcBorders>
          </w:tcPr>
          <w:p w:rsidR="007D181F" w:rsidRPr="007D181F" w:rsidRDefault="007D181F" w:rsidP="007D181F">
            <w:pPr>
              <w:pStyle w:val="NoSpacing"/>
              <w:jc w:val="center"/>
              <w:cnfStyle w:val="000000100000"/>
              <w:rPr>
                <w:b/>
                <w:sz w:val="24"/>
                <w:lang w:val="en-US"/>
              </w:rPr>
            </w:pPr>
            <w:r w:rsidRPr="007D181F">
              <w:rPr>
                <w:b/>
                <w:sz w:val="24"/>
                <w:lang w:val="en-US"/>
              </w:rPr>
              <w:t>Mario Kart Wii</w:t>
            </w:r>
          </w:p>
        </w:tc>
      </w:tr>
      <w:tr w:rsidR="007D181F" w:rsidTr="007D181F">
        <w:trPr>
          <w:cnfStyle w:val="000000010000"/>
          <w:jc w:val="center"/>
        </w:trPr>
        <w:tc>
          <w:tcPr>
            <w:cnfStyle w:val="001000000000"/>
            <w:tcW w:w="1044" w:type="dxa"/>
            <w:tcBorders>
              <w:right w:val="none" w:sz="0" w:space="0" w:color="auto"/>
            </w:tcBorders>
          </w:tcPr>
          <w:p w:rsidR="007D181F" w:rsidRDefault="007D181F" w:rsidP="007D181F">
            <w:pPr>
              <w:pStyle w:val="NoSpacing"/>
              <w:jc w:val="center"/>
              <w:rPr>
                <w:sz w:val="24"/>
              </w:rPr>
            </w:pPr>
            <w:r>
              <w:rPr>
                <w:sz w:val="24"/>
              </w:rPr>
              <w:t>4</w:t>
            </w:r>
          </w:p>
        </w:tc>
        <w:tc>
          <w:tcPr>
            <w:tcW w:w="2693" w:type="dxa"/>
            <w:tcBorders>
              <w:left w:val="none" w:sz="0" w:space="0" w:color="auto"/>
              <w:right w:val="none" w:sz="0" w:space="0" w:color="auto"/>
            </w:tcBorders>
          </w:tcPr>
          <w:p w:rsidR="007D181F" w:rsidRDefault="007D181F" w:rsidP="007D181F">
            <w:pPr>
              <w:pStyle w:val="NoSpacing"/>
              <w:jc w:val="center"/>
              <w:cnfStyle w:val="000000010000"/>
              <w:rPr>
                <w:sz w:val="24"/>
              </w:rPr>
            </w:pPr>
            <w:r>
              <w:rPr>
                <w:sz w:val="24"/>
              </w:rPr>
              <w:t>UFC 2009 Undisputed</w:t>
            </w:r>
          </w:p>
        </w:tc>
        <w:tc>
          <w:tcPr>
            <w:tcW w:w="2693" w:type="dxa"/>
            <w:tcBorders>
              <w:left w:val="none" w:sz="0" w:space="0" w:color="auto"/>
              <w:right w:val="none" w:sz="0" w:space="0" w:color="auto"/>
            </w:tcBorders>
          </w:tcPr>
          <w:p w:rsidR="007D181F" w:rsidRPr="007D181F" w:rsidRDefault="007D181F" w:rsidP="007D181F">
            <w:pPr>
              <w:pStyle w:val="NoSpacing"/>
              <w:jc w:val="center"/>
              <w:cnfStyle w:val="000000010000"/>
              <w:rPr>
                <w:b/>
                <w:sz w:val="24"/>
              </w:rPr>
            </w:pPr>
            <w:r w:rsidRPr="007D181F">
              <w:rPr>
                <w:b/>
                <w:sz w:val="24"/>
              </w:rPr>
              <w:t>Halo Wars</w:t>
            </w:r>
          </w:p>
        </w:tc>
        <w:tc>
          <w:tcPr>
            <w:tcW w:w="2744" w:type="dxa"/>
            <w:tcBorders>
              <w:left w:val="none" w:sz="0" w:space="0" w:color="auto"/>
            </w:tcBorders>
          </w:tcPr>
          <w:p w:rsidR="007D181F" w:rsidRPr="007D181F" w:rsidRDefault="007D181F" w:rsidP="007D181F">
            <w:pPr>
              <w:pStyle w:val="NoSpacing"/>
              <w:jc w:val="center"/>
              <w:cnfStyle w:val="000000010000"/>
              <w:rPr>
                <w:b/>
                <w:sz w:val="24"/>
              </w:rPr>
            </w:pPr>
            <w:r w:rsidRPr="007D181F">
              <w:rPr>
                <w:b/>
                <w:sz w:val="24"/>
              </w:rPr>
              <w:t>EA Sports Active</w:t>
            </w:r>
          </w:p>
        </w:tc>
      </w:tr>
      <w:tr w:rsidR="007D181F" w:rsidTr="007D181F">
        <w:trPr>
          <w:cnfStyle w:val="000000100000"/>
          <w:jc w:val="center"/>
        </w:trPr>
        <w:tc>
          <w:tcPr>
            <w:cnfStyle w:val="001000000000"/>
            <w:tcW w:w="1044" w:type="dxa"/>
            <w:tcBorders>
              <w:right w:val="none" w:sz="0" w:space="0" w:color="auto"/>
            </w:tcBorders>
          </w:tcPr>
          <w:p w:rsidR="007D181F" w:rsidRDefault="007D181F" w:rsidP="007D181F">
            <w:pPr>
              <w:pStyle w:val="NoSpacing"/>
              <w:jc w:val="center"/>
              <w:rPr>
                <w:sz w:val="24"/>
              </w:rPr>
            </w:pPr>
            <w:r>
              <w:rPr>
                <w:sz w:val="24"/>
              </w:rPr>
              <w:t>5</w:t>
            </w:r>
          </w:p>
        </w:tc>
        <w:tc>
          <w:tcPr>
            <w:tcW w:w="2693" w:type="dxa"/>
            <w:tcBorders>
              <w:left w:val="none" w:sz="0" w:space="0" w:color="auto"/>
              <w:right w:val="none" w:sz="0" w:space="0" w:color="auto"/>
            </w:tcBorders>
          </w:tcPr>
          <w:p w:rsidR="007D181F" w:rsidRPr="007D181F" w:rsidRDefault="007D181F" w:rsidP="007D181F">
            <w:pPr>
              <w:pStyle w:val="NoSpacing"/>
              <w:jc w:val="center"/>
              <w:cnfStyle w:val="000000100000"/>
              <w:rPr>
                <w:b/>
                <w:sz w:val="24"/>
              </w:rPr>
            </w:pPr>
            <w:r w:rsidRPr="007D181F">
              <w:rPr>
                <w:b/>
                <w:sz w:val="24"/>
              </w:rPr>
              <w:t>MLB 09 : The Show</w:t>
            </w:r>
          </w:p>
        </w:tc>
        <w:tc>
          <w:tcPr>
            <w:tcW w:w="2693" w:type="dxa"/>
            <w:tcBorders>
              <w:left w:val="none" w:sz="0" w:space="0" w:color="auto"/>
              <w:right w:val="none" w:sz="0" w:space="0" w:color="auto"/>
            </w:tcBorders>
          </w:tcPr>
          <w:p w:rsidR="007D181F" w:rsidRDefault="007D181F" w:rsidP="007D181F">
            <w:pPr>
              <w:pStyle w:val="NoSpacing"/>
              <w:jc w:val="center"/>
              <w:cnfStyle w:val="000000100000"/>
              <w:rPr>
                <w:sz w:val="24"/>
              </w:rPr>
            </w:pPr>
            <w:r>
              <w:rPr>
                <w:sz w:val="24"/>
              </w:rPr>
              <w:t>Street Fighter IV</w:t>
            </w:r>
          </w:p>
        </w:tc>
        <w:tc>
          <w:tcPr>
            <w:tcW w:w="2744" w:type="dxa"/>
            <w:tcBorders>
              <w:left w:val="none" w:sz="0" w:space="0" w:color="auto"/>
            </w:tcBorders>
          </w:tcPr>
          <w:p w:rsidR="007D181F" w:rsidRDefault="007D181F" w:rsidP="007D181F">
            <w:pPr>
              <w:pStyle w:val="NoSpacing"/>
              <w:jc w:val="center"/>
              <w:cnfStyle w:val="000000100000"/>
              <w:rPr>
                <w:sz w:val="24"/>
              </w:rPr>
            </w:pPr>
            <w:r>
              <w:rPr>
                <w:sz w:val="24"/>
              </w:rPr>
              <w:t>Lego Star Wars Complete</w:t>
            </w:r>
          </w:p>
        </w:tc>
      </w:tr>
    </w:tbl>
    <w:p w:rsidR="007D181F" w:rsidRDefault="007D181F" w:rsidP="007D181F">
      <w:pPr>
        <w:pStyle w:val="NoSpacing"/>
        <w:rPr>
          <w:sz w:val="24"/>
        </w:rPr>
      </w:pPr>
    </w:p>
    <w:p w:rsidR="000E403C" w:rsidRPr="007F6326" w:rsidRDefault="001943BA" w:rsidP="001943BA">
      <w:pPr>
        <w:pStyle w:val="NoSpacing"/>
        <w:jc w:val="both"/>
        <w:rPr>
          <w:sz w:val="24"/>
        </w:rPr>
      </w:pPr>
      <w:r>
        <w:rPr>
          <w:sz w:val="24"/>
        </w:rPr>
        <w:t xml:space="preserve">Dans la globalité, c’est toujours la Wii qui domine largement les meilleures ventes de jeux puisque dans ce classement, </w:t>
      </w:r>
      <w:r>
        <w:rPr>
          <w:i/>
          <w:sz w:val="24"/>
        </w:rPr>
        <w:t>Wii Fit</w:t>
      </w:r>
      <w:r>
        <w:rPr>
          <w:sz w:val="24"/>
        </w:rPr>
        <w:t xml:space="preserve"> atteint un total annuel de plus de 3 millions et </w:t>
      </w:r>
      <w:r>
        <w:rPr>
          <w:i/>
          <w:sz w:val="24"/>
        </w:rPr>
        <w:t>Mario Kart Wii</w:t>
      </w:r>
      <w:r>
        <w:rPr>
          <w:sz w:val="24"/>
        </w:rPr>
        <w:t xml:space="preserve"> plus de 1,4 million, tandis que la meilleure vente de la Xbox 360, </w:t>
      </w:r>
      <w:r>
        <w:rPr>
          <w:i/>
          <w:sz w:val="24"/>
        </w:rPr>
        <w:t>Resident Evil 5</w:t>
      </w:r>
      <w:r w:rsidR="00BB43B5">
        <w:rPr>
          <w:sz w:val="24"/>
        </w:rPr>
        <w:t>,</w:t>
      </w:r>
      <w:r>
        <w:rPr>
          <w:sz w:val="24"/>
        </w:rPr>
        <w:t xml:space="preserve"> plafonne</w:t>
      </w:r>
      <w:r w:rsidR="00BB43B5">
        <w:rPr>
          <w:sz w:val="24"/>
        </w:rPr>
        <w:t xml:space="preserve"> environ à 1,1 million et celle</w:t>
      </w:r>
      <w:r>
        <w:rPr>
          <w:sz w:val="24"/>
        </w:rPr>
        <w:t xml:space="preserve"> de la PS3, </w:t>
      </w:r>
      <w:r>
        <w:rPr>
          <w:i/>
          <w:sz w:val="24"/>
        </w:rPr>
        <w:t>Killzone 2</w:t>
      </w:r>
      <w:r w:rsidR="00BB43B5">
        <w:rPr>
          <w:sz w:val="24"/>
        </w:rPr>
        <w:t>,</w:t>
      </w:r>
      <w:r>
        <w:rPr>
          <w:sz w:val="24"/>
        </w:rPr>
        <w:t xml:space="preserve"> se situe à moins de 750 000 exemplaires. Du côté des consoles HD, on constate donc surtout les succès de </w:t>
      </w:r>
      <w:r>
        <w:rPr>
          <w:i/>
          <w:sz w:val="24"/>
        </w:rPr>
        <w:t>RE5</w:t>
      </w:r>
      <w:r>
        <w:rPr>
          <w:sz w:val="24"/>
        </w:rPr>
        <w:t xml:space="preserve">, </w:t>
      </w:r>
      <w:r>
        <w:rPr>
          <w:i/>
          <w:sz w:val="24"/>
        </w:rPr>
        <w:t>SFIV</w:t>
      </w:r>
      <w:r>
        <w:rPr>
          <w:sz w:val="24"/>
        </w:rPr>
        <w:t xml:space="preserve"> et </w:t>
      </w:r>
      <w:r>
        <w:rPr>
          <w:i/>
          <w:sz w:val="24"/>
        </w:rPr>
        <w:t>UFC 2009</w:t>
      </w:r>
      <w:r>
        <w:rPr>
          <w:sz w:val="24"/>
        </w:rPr>
        <w:t xml:space="preserve">, tandis qu’en </w:t>
      </w:r>
      <w:r w:rsidR="007F6326">
        <w:rPr>
          <w:sz w:val="24"/>
        </w:rPr>
        <w:t>termes d’exclusivités</w:t>
      </w:r>
      <w:r>
        <w:rPr>
          <w:sz w:val="24"/>
        </w:rPr>
        <w:t xml:space="preserve"> </w:t>
      </w:r>
      <w:r>
        <w:rPr>
          <w:i/>
          <w:sz w:val="24"/>
        </w:rPr>
        <w:t>Killzone 2</w:t>
      </w:r>
      <w:r w:rsidR="007F6326">
        <w:rPr>
          <w:sz w:val="24"/>
        </w:rPr>
        <w:t xml:space="preserve"> a tout de même bien réussit son coup, même si on aurait pu s’attendre à mieux de la part d’un tel titre. Seule exclusivité 360 de ce top 5, </w:t>
      </w:r>
      <w:r w:rsidR="007F6326">
        <w:rPr>
          <w:i/>
          <w:sz w:val="24"/>
        </w:rPr>
        <w:t>Halo Wars</w:t>
      </w:r>
      <w:r w:rsidR="007F6326">
        <w:rPr>
          <w:sz w:val="24"/>
        </w:rPr>
        <w:t xml:space="preserve"> réalise également une belle performance même si on constate clairement que les ventes se sont effondrées après son lancement : en juin il était 23</w:t>
      </w:r>
      <w:r w:rsidR="007F6326" w:rsidRPr="007F6326">
        <w:rPr>
          <w:sz w:val="24"/>
          <w:vertAlign w:val="superscript"/>
        </w:rPr>
        <w:t>ème</w:t>
      </w:r>
      <w:r w:rsidR="007F6326">
        <w:rPr>
          <w:sz w:val="24"/>
        </w:rPr>
        <w:t xml:space="preserve"> du classement Xbox 360 avec moins de 30 000 exemplaires écoulés sur le mois tandis que </w:t>
      </w:r>
      <w:r w:rsidR="007F6326">
        <w:rPr>
          <w:i/>
          <w:sz w:val="24"/>
        </w:rPr>
        <w:t>Halo 3</w:t>
      </w:r>
      <w:r w:rsidR="007F6326">
        <w:rPr>
          <w:sz w:val="24"/>
        </w:rPr>
        <w:t xml:space="preserve"> figure 9</w:t>
      </w:r>
      <w:r w:rsidR="007F6326" w:rsidRPr="007F6326">
        <w:rPr>
          <w:sz w:val="24"/>
          <w:vertAlign w:val="superscript"/>
        </w:rPr>
        <w:t>ème</w:t>
      </w:r>
      <w:r w:rsidR="007F6326">
        <w:rPr>
          <w:sz w:val="24"/>
        </w:rPr>
        <w:t xml:space="preserve"> avec plus de 60 000 exemplaires. Un constat assez simple du statut de spin-off du jeu, qui a clairement profité de son nom pour réaliser un coup d’éclat à son lancement, qui ne s’est donc pas vraiment concrétisé. Sur Wii, on souligne l’excellente performance de </w:t>
      </w:r>
      <w:r w:rsidR="007F6326">
        <w:rPr>
          <w:i/>
          <w:sz w:val="24"/>
        </w:rPr>
        <w:t>EA Sports Active</w:t>
      </w:r>
      <w:r w:rsidR="007F6326">
        <w:rPr>
          <w:sz w:val="24"/>
        </w:rPr>
        <w:t xml:space="preserve"> qui est clairement la plus grande réussite pour un </w:t>
      </w:r>
      <w:r w:rsidR="007F6326">
        <w:rPr>
          <w:i/>
          <w:sz w:val="24"/>
        </w:rPr>
        <w:t>Wii Fit</w:t>
      </w:r>
      <w:r w:rsidR="007F6326">
        <w:rPr>
          <w:sz w:val="24"/>
        </w:rPr>
        <w:t>-like. Le titre d’Electronic A</w:t>
      </w:r>
      <w:r w:rsidR="00BB43B5">
        <w:rPr>
          <w:sz w:val="24"/>
        </w:rPr>
        <w:t>rts ne devrait avoir aucun mal à dépasser</w:t>
      </w:r>
      <w:r w:rsidR="007F6326">
        <w:rPr>
          <w:sz w:val="24"/>
        </w:rPr>
        <w:t xml:space="preserve"> le million d’ici peu. On souligne aussi la très bonne performance de </w:t>
      </w:r>
      <w:r w:rsidR="007F6326">
        <w:rPr>
          <w:i/>
          <w:sz w:val="24"/>
        </w:rPr>
        <w:t>Lego Star Wars</w:t>
      </w:r>
      <w:r w:rsidR="007F6326">
        <w:rPr>
          <w:sz w:val="24"/>
        </w:rPr>
        <w:t>, qui a pourtant presque 2 ans d’ancienneté.</w:t>
      </w:r>
    </w:p>
    <w:p w:rsidR="001943BA" w:rsidRDefault="001943BA" w:rsidP="007D181F">
      <w:pPr>
        <w:pStyle w:val="NoSpacing"/>
        <w:rPr>
          <w:sz w:val="24"/>
        </w:rPr>
      </w:pPr>
    </w:p>
    <w:p w:rsidR="00685C03" w:rsidRDefault="00685C03" w:rsidP="00685C03">
      <w:pPr>
        <w:pStyle w:val="NoSpacing"/>
        <w:jc w:val="center"/>
        <w:rPr>
          <w:sz w:val="24"/>
        </w:rPr>
      </w:pPr>
      <w:r w:rsidRPr="00685C03">
        <w:rPr>
          <w:sz w:val="24"/>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0E403C" w:rsidRDefault="000E403C" w:rsidP="000E403C">
      <w:pPr>
        <w:pStyle w:val="NoSpacing"/>
        <w:jc w:val="center"/>
        <w:rPr>
          <w:b/>
          <w:sz w:val="32"/>
          <w:u w:val="single"/>
        </w:rPr>
      </w:pPr>
      <w:r>
        <w:rPr>
          <w:b/>
          <w:sz w:val="32"/>
          <w:u w:val="single"/>
        </w:rPr>
        <w:lastRenderedPageBreak/>
        <w:t>Ventes de consoles depuis le début de l’année</w:t>
      </w:r>
    </w:p>
    <w:p w:rsidR="000E403C" w:rsidRDefault="000E403C" w:rsidP="000E403C">
      <w:pPr>
        <w:pStyle w:val="NoSpacing"/>
        <w:jc w:val="center"/>
        <w:rPr>
          <w:b/>
          <w:sz w:val="32"/>
          <w:u w:val="single"/>
        </w:rPr>
      </w:pPr>
      <w:r>
        <w:rPr>
          <w:b/>
          <w:sz w:val="32"/>
          <w:u w:val="single"/>
        </w:rPr>
        <w:t>(De janvier à octobre 2009)</w:t>
      </w:r>
    </w:p>
    <w:p w:rsidR="000E403C" w:rsidRDefault="000E403C" w:rsidP="000E403C">
      <w:pPr>
        <w:pStyle w:val="NoSpacing"/>
        <w:rPr>
          <w:sz w:val="24"/>
        </w:rPr>
      </w:pPr>
    </w:p>
    <w:tbl>
      <w:tblPr>
        <w:tblStyle w:val="MediumShading1-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2291"/>
        <w:gridCol w:w="1704"/>
        <w:gridCol w:w="1675"/>
        <w:gridCol w:w="1151"/>
        <w:gridCol w:w="1612"/>
      </w:tblGrid>
      <w:tr w:rsidR="000E403C" w:rsidTr="000E403C">
        <w:trPr>
          <w:cnfStyle w:val="100000000000"/>
          <w:jc w:val="center"/>
        </w:trPr>
        <w:tc>
          <w:tcPr>
            <w:cnfStyle w:val="001000000000"/>
            <w:tcW w:w="779" w:type="dxa"/>
            <w:tcBorders>
              <w:top w:val="none" w:sz="0" w:space="0" w:color="auto"/>
              <w:left w:val="none" w:sz="0" w:space="0" w:color="auto"/>
              <w:bottom w:val="none" w:sz="0" w:space="0" w:color="auto"/>
              <w:right w:val="none" w:sz="0" w:space="0" w:color="auto"/>
            </w:tcBorders>
          </w:tcPr>
          <w:p w:rsidR="000E403C" w:rsidRDefault="000E403C" w:rsidP="000E403C">
            <w:pPr>
              <w:pStyle w:val="NoSpacing"/>
              <w:jc w:val="center"/>
              <w:rPr>
                <w:sz w:val="24"/>
              </w:rPr>
            </w:pPr>
            <w:r>
              <w:rPr>
                <w:sz w:val="24"/>
              </w:rPr>
              <w:t>Pos.</w:t>
            </w:r>
          </w:p>
        </w:tc>
        <w:tc>
          <w:tcPr>
            <w:tcW w:w="2291" w:type="dxa"/>
            <w:tcBorders>
              <w:top w:val="none" w:sz="0" w:space="0" w:color="auto"/>
              <w:left w:val="none" w:sz="0" w:space="0" w:color="auto"/>
              <w:bottom w:val="none" w:sz="0" w:space="0" w:color="auto"/>
              <w:right w:val="none" w:sz="0" w:space="0" w:color="auto"/>
            </w:tcBorders>
          </w:tcPr>
          <w:p w:rsidR="000E403C" w:rsidRDefault="000E403C" w:rsidP="000E403C">
            <w:pPr>
              <w:pStyle w:val="NoSpacing"/>
              <w:jc w:val="center"/>
              <w:cnfStyle w:val="100000000000"/>
              <w:rPr>
                <w:sz w:val="24"/>
              </w:rPr>
            </w:pPr>
            <w:r>
              <w:rPr>
                <w:sz w:val="24"/>
              </w:rPr>
              <w:t>Console</w:t>
            </w:r>
          </w:p>
        </w:tc>
        <w:tc>
          <w:tcPr>
            <w:tcW w:w="1704" w:type="dxa"/>
            <w:tcBorders>
              <w:top w:val="none" w:sz="0" w:space="0" w:color="auto"/>
              <w:left w:val="none" w:sz="0" w:space="0" w:color="auto"/>
              <w:bottom w:val="none" w:sz="0" w:space="0" w:color="auto"/>
              <w:right w:val="none" w:sz="0" w:space="0" w:color="auto"/>
            </w:tcBorders>
          </w:tcPr>
          <w:p w:rsidR="000E403C" w:rsidRDefault="000E403C" w:rsidP="000E403C">
            <w:pPr>
              <w:pStyle w:val="NoSpacing"/>
              <w:jc w:val="center"/>
              <w:cnfStyle w:val="100000000000"/>
              <w:rPr>
                <w:sz w:val="24"/>
              </w:rPr>
            </w:pPr>
            <w:r>
              <w:rPr>
                <w:sz w:val="24"/>
              </w:rPr>
              <w:t>Score 2009</w:t>
            </w:r>
          </w:p>
        </w:tc>
        <w:tc>
          <w:tcPr>
            <w:tcW w:w="1675" w:type="dxa"/>
            <w:tcBorders>
              <w:top w:val="none" w:sz="0" w:space="0" w:color="auto"/>
              <w:left w:val="none" w:sz="0" w:space="0" w:color="auto"/>
              <w:bottom w:val="none" w:sz="0" w:space="0" w:color="auto"/>
              <w:right w:val="none" w:sz="0" w:space="0" w:color="auto"/>
            </w:tcBorders>
          </w:tcPr>
          <w:p w:rsidR="000E403C" w:rsidRDefault="000E403C" w:rsidP="000E403C">
            <w:pPr>
              <w:pStyle w:val="NoSpacing"/>
              <w:jc w:val="center"/>
              <w:cnfStyle w:val="100000000000"/>
              <w:rPr>
                <w:sz w:val="24"/>
              </w:rPr>
            </w:pPr>
            <w:r>
              <w:rPr>
                <w:sz w:val="24"/>
              </w:rPr>
              <w:t>Score 2008</w:t>
            </w:r>
          </w:p>
        </w:tc>
        <w:tc>
          <w:tcPr>
            <w:tcW w:w="1151" w:type="dxa"/>
            <w:tcBorders>
              <w:top w:val="none" w:sz="0" w:space="0" w:color="auto"/>
              <w:left w:val="none" w:sz="0" w:space="0" w:color="auto"/>
              <w:bottom w:val="none" w:sz="0" w:space="0" w:color="auto"/>
              <w:right w:val="none" w:sz="0" w:space="0" w:color="auto"/>
            </w:tcBorders>
          </w:tcPr>
          <w:p w:rsidR="000E403C" w:rsidRDefault="000E403C" w:rsidP="000E403C">
            <w:pPr>
              <w:pStyle w:val="NoSpacing"/>
              <w:jc w:val="center"/>
              <w:cnfStyle w:val="100000000000"/>
              <w:rPr>
                <w:sz w:val="24"/>
              </w:rPr>
            </w:pPr>
            <w:r>
              <w:rPr>
                <w:sz w:val="24"/>
              </w:rPr>
              <w:t>Evo.</w:t>
            </w:r>
          </w:p>
        </w:tc>
        <w:tc>
          <w:tcPr>
            <w:tcW w:w="1612" w:type="dxa"/>
            <w:tcBorders>
              <w:top w:val="none" w:sz="0" w:space="0" w:color="auto"/>
              <w:left w:val="none" w:sz="0" w:space="0" w:color="auto"/>
              <w:bottom w:val="none" w:sz="0" w:space="0" w:color="auto"/>
              <w:right w:val="none" w:sz="0" w:space="0" w:color="auto"/>
            </w:tcBorders>
          </w:tcPr>
          <w:p w:rsidR="000E403C" w:rsidRDefault="000E403C" w:rsidP="000E403C">
            <w:pPr>
              <w:pStyle w:val="NoSpacing"/>
              <w:jc w:val="center"/>
              <w:cnfStyle w:val="100000000000"/>
              <w:rPr>
                <w:sz w:val="24"/>
              </w:rPr>
            </w:pPr>
            <w:r>
              <w:rPr>
                <w:sz w:val="24"/>
              </w:rPr>
              <w:t>Total</w:t>
            </w:r>
          </w:p>
        </w:tc>
      </w:tr>
      <w:tr w:rsidR="000E403C" w:rsidRPr="000E403C" w:rsidTr="000E403C">
        <w:trPr>
          <w:cnfStyle w:val="000000100000"/>
          <w:jc w:val="center"/>
        </w:trPr>
        <w:tc>
          <w:tcPr>
            <w:cnfStyle w:val="001000000000"/>
            <w:tcW w:w="779" w:type="dxa"/>
            <w:tcBorders>
              <w:right w:val="none" w:sz="0" w:space="0" w:color="auto"/>
            </w:tcBorders>
          </w:tcPr>
          <w:p w:rsidR="000E403C" w:rsidRPr="000E403C" w:rsidRDefault="000E403C" w:rsidP="000E403C">
            <w:pPr>
              <w:pStyle w:val="NoSpacing"/>
              <w:jc w:val="center"/>
              <w:rPr>
                <w:sz w:val="24"/>
              </w:rPr>
            </w:pPr>
            <w:r w:rsidRPr="000E403C">
              <w:rPr>
                <w:sz w:val="24"/>
              </w:rPr>
              <w:t>1</w:t>
            </w:r>
          </w:p>
        </w:tc>
        <w:tc>
          <w:tcPr>
            <w:tcW w:w="2291" w:type="dxa"/>
            <w:tcBorders>
              <w:left w:val="none" w:sz="0" w:space="0" w:color="auto"/>
              <w:right w:val="none" w:sz="0" w:space="0" w:color="auto"/>
            </w:tcBorders>
          </w:tcPr>
          <w:p w:rsidR="000E403C" w:rsidRPr="000E403C" w:rsidRDefault="000E403C" w:rsidP="000E403C">
            <w:pPr>
              <w:pStyle w:val="NoSpacing"/>
              <w:jc w:val="center"/>
              <w:cnfStyle w:val="000000100000"/>
              <w:rPr>
                <w:b/>
                <w:sz w:val="24"/>
              </w:rPr>
            </w:pPr>
            <w:r w:rsidRPr="000E403C">
              <w:rPr>
                <w:b/>
                <w:sz w:val="24"/>
              </w:rPr>
              <w:t>Nintendo DS</w:t>
            </w:r>
          </w:p>
        </w:tc>
        <w:tc>
          <w:tcPr>
            <w:tcW w:w="1704" w:type="dxa"/>
            <w:tcBorders>
              <w:left w:val="none" w:sz="0" w:space="0" w:color="auto"/>
              <w:right w:val="none" w:sz="0" w:space="0" w:color="auto"/>
            </w:tcBorders>
          </w:tcPr>
          <w:p w:rsidR="000E403C" w:rsidRPr="000E403C" w:rsidRDefault="000E403C" w:rsidP="000E403C">
            <w:pPr>
              <w:pStyle w:val="NoSpacing"/>
              <w:jc w:val="center"/>
              <w:cnfStyle w:val="000000100000"/>
              <w:rPr>
                <w:b/>
                <w:sz w:val="24"/>
              </w:rPr>
            </w:pPr>
            <w:r w:rsidRPr="000E403C">
              <w:rPr>
                <w:b/>
                <w:sz w:val="24"/>
              </w:rPr>
              <w:t>6 175 400</w:t>
            </w:r>
          </w:p>
        </w:tc>
        <w:tc>
          <w:tcPr>
            <w:tcW w:w="1675" w:type="dxa"/>
            <w:tcBorders>
              <w:left w:val="none" w:sz="0" w:space="0" w:color="auto"/>
              <w:right w:val="none" w:sz="0" w:space="0" w:color="auto"/>
            </w:tcBorders>
          </w:tcPr>
          <w:p w:rsidR="000E403C" w:rsidRPr="000E403C" w:rsidRDefault="007F6326" w:rsidP="000E403C">
            <w:pPr>
              <w:pStyle w:val="NoSpacing"/>
              <w:jc w:val="center"/>
              <w:cnfStyle w:val="000000100000"/>
              <w:rPr>
                <w:b/>
                <w:sz w:val="24"/>
              </w:rPr>
            </w:pPr>
            <w:r>
              <w:rPr>
                <w:b/>
                <w:sz w:val="24"/>
              </w:rPr>
              <w:t>5 342 100</w:t>
            </w:r>
          </w:p>
        </w:tc>
        <w:tc>
          <w:tcPr>
            <w:tcW w:w="1151" w:type="dxa"/>
            <w:tcBorders>
              <w:left w:val="none" w:sz="0" w:space="0" w:color="auto"/>
              <w:right w:val="none" w:sz="0" w:space="0" w:color="auto"/>
            </w:tcBorders>
          </w:tcPr>
          <w:p w:rsidR="000E403C" w:rsidRPr="000E403C" w:rsidRDefault="007F6326" w:rsidP="000E403C">
            <w:pPr>
              <w:pStyle w:val="NoSpacing"/>
              <w:jc w:val="center"/>
              <w:cnfStyle w:val="000000100000"/>
              <w:rPr>
                <w:b/>
                <w:sz w:val="24"/>
              </w:rPr>
            </w:pPr>
            <w:r>
              <w:rPr>
                <w:b/>
                <w:sz w:val="24"/>
              </w:rPr>
              <w:t>+ 16 %</w:t>
            </w:r>
          </w:p>
        </w:tc>
        <w:tc>
          <w:tcPr>
            <w:tcW w:w="1612" w:type="dxa"/>
            <w:tcBorders>
              <w:left w:val="none" w:sz="0" w:space="0" w:color="auto"/>
            </w:tcBorders>
          </w:tcPr>
          <w:p w:rsidR="000E403C" w:rsidRPr="000E403C" w:rsidRDefault="000E403C" w:rsidP="000E403C">
            <w:pPr>
              <w:pStyle w:val="NoSpacing"/>
              <w:jc w:val="center"/>
              <w:cnfStyle w:val="000000100000"/>
              <w:rPr>
                <w:b/>
                <w:sz w:val="24"/>
              </w:rPr>
            </w:pPr>
            <w:r w:rsidRPr="000E403C">
              <w:rPr>
                <w:b/>
                <w:sz w:val="24"/>
              </w:rPr>
              <w:t>33 679 400</w:t>
            </w:r>
          </w:p>
        </w:tc>
      </w:tr>
      <w:tr w:rsidR="000E403C" w:rsidRPr="000E403C" w:rsidTr="000E403C">
        <w:trPr>
          <w:cnfStyle w:val="000000010000"/>
          <w:jc w:val="center"/>
        </w:trPr>
        <w:tc>
          <w:tcPr>
            <w:cnfStyle w:val="001000000000"/>
            <w:tcW w:w="779" w:type="dxa"/>
            <w:tcBorders>
              <w:right w:val="none" w:sz="0" w:space="0" w:color="auto"/>
            </w:tcBorders>
          </w:tcPr>
          <w:p w:rsidR="000E403C" w:rsidRPr="000E403C" w:rsidRDefault="000E403C" w:rsidP="000E403C">
            <w:pPr>
              <w:pStyle w:val="NoSpacing"/>
              <w:jc w:val="center"/>
              <w:rPr>
                <w:sz w:val="24"/>
              </w:rPr>
            </w:pPr>
            <w:r w:rsidRPr="000E403C">
              <w:rPr>
                <w:sz w:val="24"/>
              </w:rPr>
              <w:t>2</w:t>
            </w:r>
          </w:p>
        </w:tc>
        <w:tc>
          <w:tcPr>
            <w:tcW w:w="2291" w:type="dxa"/>
            <w:tcBorders>
              <w:left w:val="none" w:sz="0" w:space="0" w:color="auto"/>
              <w:right w:val="none" w:sz="0" w:space="0" w:color="auto"/>
            </w:tcBorders>
          </w:tcPr>
          <w:p w:rsidR="000E403C" w:rsidRPr="000E403C" w:rsidRDefault="000E403C" w:rsidP="000E403C">
            <w:pPr>
              <w:pStyle w:val="NoSpacing"/>
              <w:jc w:val="center"/>
              <w:cnfStyle w:val="000000010000"/>
              <w:rPr>
                <w:b/>
                <w:sz w:val="24"/>
              </w:rPr>
            </w:pPr>
            <w:r w:rsidRPr="000E403C">
              <w:rPr>
                <w:b/>
                <w:sz w:val="24"/>
              </w:rPr>
              <w:t>Wii</w:t>
            </w:r>
          </w:p>
        </w:tc>
        <w:tc>
          <w:tcPr>
            <w:tcW w:w="1704" w:type="dxa"/>
            <w:tcBorders>
              <w:left w:val="none" w:sz="0" w:space="0" w:color="auto"/>
              <w:right w:val="none" w:sz="0" w:space="0" w:color="auto"/>
            </w:tcBorders>
          </w:tcPr>
          <w:p w:rsidR="000E403C" w:rsidRPr="000E403C" w:rsidRDefault="000E403C" w:rsidP="000E403C">
            <w:pPr>
              <w:pStyle w:val="NoSpacing"/>
              <w:jc w:val="center"/>
              <w:cnfStyle w:val="000000010000"/>
              <w:rPr>
                <w:b/>
                <w:sz w:val="24"/>
              </w:rPr>
            </w:pPr>
            <w:r w:rsidRPr="000E403C">
              <w:rPr>
                <w:b/>
                <w:sz w:val="24"/>
              </w:rPr>
              <w:t>4 524 000</w:t>
            </w:r>
          </w:p>
        </w:tc>
        <w:tc>
          <w:tcPr>
            <w:tcW w:w="1675" w:type="dxa"/>
            <w:tcBorders>
              <w:left w:val="none" w:sz="0" w:space="0" w:color="auto"/>
              <w:right w:val="none" w:sz="0" w:space="0" w:color="auto"/>
            </w:tcBorders>
          </w:tcPr>
          <w:p w:rsidR="000E403C" w:rsidRPr="000E403C" w:rsidRDefault="007F6326" w:rsidP="000E403C">
            <w:pPr>
              <w:pStyle w:val="NoSpacing"/>
              <w:jc w:val="center"/>
              <w:cnfStyle w:val="000000010000"/>
              <w:rPr>
                <w:b/>
                <w:sz w:val="24"/>
              </w:rPr>
            </w:pPr>
            <w:r>
              <w:rPr>
                <w:b/>
                <w:sz w:val="24"/>
              </w:rPr>
              <w:t>5 981 000</w:t>
            </w:r>
          </w:p>
        </w:tc>
        <w:tc>
          <w:tcPr>
            <w:tcW w:w="1151" w:type="dxa"/>
            <w:tcBorders>
              <w:left w:val="none" w:sz="0" w:space="0" w:color="auto"/>
              <w:right w:val="none" w:sz="0" w:space="0" w:color="auto"/>
            </w:tcBorders>
          </w:tcPr>
          <w:p w:rsidR="000E403C" w:rsidRPr="000E403C" w:rsidRDefault="007F6326" w:rsidP="000E403C">
            <w:pPr>
              <w:pStyle w:val="NoSpacing"/>
              <w:jc w:val="center"/>
              <w:cnfStyle w:val="000000010000"/>
              <w:rPr>
                <w:b/>
                <w:sz w:val="24"/>
              </w:rPr>
            </w:pPr>
            <w:r>
              <w:rPr>
                <w:b/>
                <w:sz w:val="24"/>
              </w:rPr>
              <w:t>- 24 %</w:t>
            </w:r>
          </w:p>
        </w:tc>
        <w:tc>
          <w:tcPr>
            <w:tcW w:w="1612" w:type="dxa"/>
            <w:tcBorders>
              <w:left w:val="none" w:sz="0" w:space="0" w:color="auto"/>
            </w:tcBorders>
          </w:tcPr>
          <w:p w:rsidR="000E403C" w:rsidRPr="000E403C" w:rsidRDefault="000E403C" w:rsidP="000E403C">
            <w:pPr>
              <w:pStyle w:val="NoSpacing"/>
              <w:jc w:val="center"/>
              <w:cnfStyle w:val="000000010000"/>
              <w:rPr>
                <w:b/>
                <w:sz w:val="24"/>
              </w:rPr>
            </w:pPr>
            <w:r w:rsidRPr="000E403C">
              <w:rPr>
                <w:b/>
                <w:sz w:val="24"/>
              </w:rPr>
              <w:t>22 065 000</w:t>
            </w:r>
          </w:p>
        </w:tc>
      </w:tr>
      <w:tr w:rsidR="000E403C" w:rsidTr="000E403C">
        <w:trPr>
          <w:cnfStyle w:val="000000100000"/>
          <w:jc w:val="center"/>
        </w:trPr>
        <w:tc>
          <w:tcPr>
            <w:cnfStyle w:val="001000000000"/>
            <w:tcW w:w="779" w:type="dxa"/>
            <w:tcBorders>
              <w:right w:val="none" w:sz="0" w:space="0" w:color="auto"/>
            </w:tcBorders>
          </w:tcPr>
          <w:p w:rsidR="000E403C" w:rsidRPr="000E403C" w:rsidRDefault="000E403C" w:rsidP="000E403C">
            <w:pPr>
              <w:pStyle w:val="NoSpacing"/>
              <w:jc w:val="center"/>
              <w:rPr>
                <w:b w:val="0"/>
                <w:sz w:val="24"/>
              </w:rPr>
            </w:pPr>
            <w:r>
              <w:rPr>
                <w:b w:val="0"/>
                <w:sz w:val="24"/>
              </w:rPr>
              <w:t>3</w:t>
            </w:r>
          </w:p>
        </w:tc>
        <w:tc>
          <w:tcPr>
            <w:tcW w:w="2291" w:type="dxa"/>
            <w:tcBorders>
              <w:left w:val="none" w:sz="0" w:space="0" w:color="auto"/>
              <w:right w:val="none" w:sz="0" w:space="0" w:color="auto"/>
            </w:tcBorders>
          </w:tcPr>
          <w:p w:rsidR="000E403C" w:rsidRDefault="000E403C" w:rsidP="000E403C">
            <w:pPr>
              <w:pStyle w:val="NoSpacing"/>
              <w:jc w:val="center"/>
              <w:cnfStyle w:val="000000100000"/>
              <w:rPr>
                <w:sz w:val="24"/>
              </w:rPr>
            </w:pPr>
            <w:r>
              <w:rPr>
                <w:sz w:val="24"/>
              </w:rPr>
              <w:t>Xbox 360</w:t>
            </w:r>
          </w:p>
        </w:tc>
        <w:tc>
          <w:tcPr>
            <w:tcW w:w="1704" w:type="dxa"/>
            <w:tcBorders>
              <w:left w:val="none" w:sz="0" w:space="0" w:color="auto"/>
              <w:right w:val="none" w:sz="0" w:space="0" w:color="auto"/>
            </w:tcBorders>
          </w:tcPr>
          <w:p w:rsidR="000E403C" w:rsidRDefault="000E403C" w:rsidP="000E403C">
            <w:pPr>
              <w:pStyle w:val="NoSpacing"/>
              <w:jc w:val="center"/>
              <w:cnfStyle w:val="000000100000"/>
              <w:rPr>
                <w:sz w:val="24"/>
              </w:rPr>
            </w:pPr>
            <w:r>
              <w:rPr>
                <w:sz w:val="24"/>
              </w:rPr>
              <w:t>2 641 200</w:t>
            </w:r>
          </w:p>
        </w:tc>
        <w:tc>
          <w:tcPr>
            <w:tcW w:w="1675" w:type="dxa"/>
            <w:tcBorders>
              <w:left w:val="none" w:sz="0" w:space="0" w:color="auto"/>
              <w:right w:val="none" w:sz="0" w:space="0" w:color="auto"/>
            </w:tcBorders>
          </w:tcPr>
          <w:p w:rsidR="000E403C" w:rsidRDefault="007F6326" w:rsidP="000E403C">
            <w:pPr>
              <w:pStyle w:val="NoSpacing"/>
              <w:jc w:val="center"/>
              <w:cnfStyle w:val="000000100000"/>
              <w:rPr>
                <w:sz w:val="24"/>
              </w:rPr>
            </w:pPr>
            <w:r>
              <w:rPr>
                <w:sz w:val="24"/>
              </w:rPr>
              <w:t>2 494 400</w:t>
            </w:r>
          </w:p>
        </w:tc>
        <w:tc>
          <w:tcPr>
            <w:tcW w:w="1151" w:type="dxa"/>
            <w:tcBorders>
              <w:left w:val="none" w:sz="0" w:space="0" w:color="auto"/>
              <w:right w:val="none" w:sz="0" w:space="0" w:color="auto"/>
            </w:tcBorders>
          </w:tcPr>
          <w:p w:rsidR="000E403C" w:rsidRDefault="00CA276F" w:rsidP="000E403C">
            <w:pPr>
              <w:pStyle w:val="NoSpacing"/>
              <w:jc w:val="center"/>
              <w:cnfStyle w:val="000000100000"/>
              <w:rPr>
                <w:sz w:val="24"/>
              </w:rPr>
            </w:pPr>
            <w:r>
              <w:rPr>
                <w:sz w:val="24"/>
              </w:rPr>
              <w:t>+ 6 %</w:t>
            </w:r>
          </w:p>
        </w:tc>
        <w:tc>
          <w:tcPr>
            <w:tcW w:w="1612" w:type="dxa"/>
            <w:tcBorders>
              <w:left w:val="none" w:sz="0" w:space="0" w:color="auto"/>
            </w:tcBorders>
          </w:tcPr>
          <w:p w:rsidR="000E403C" w:rsidRDefault="000E403C" w:rsidP="000E403C">
            <w:pPr>
              <w:pStyle w:val="NoSpacing"/>
              <w:jc w:val="center"/>
              <w:cnfStyle w:val="000000100000"/>
              <w:rPr>
                <w:sz w:val="24"/>
              </w:rPr>
            </w:pPr>
            <w:r>
              <w:rPr>
                <w:sz w:val="24"/>
              </w:rPr>
              <w:t>16 530 200</w:t>
            </w:r>
          </w:p>
        </w:tc>
      </w:tr>
      <w:tr w:rsidR="000E403C" w:rsidTr="000E403C">
        <w:trPr>
          <w:cnfStyle w:val="000000010000"/>
          <w:jc w:val="center"/>
        </w:trPr>
        <w:tc>
          <w:tcPr>
            <w:cnfStyle w:val="001000000000"/>
            <w:tcW w:w="779" w:type="dxa"/>
            <w:tcBorders>
              <w:right w:val="none" w:sz="0" w:space="0" w:color="auto"/>
            </w:tcBorders>
          </w:tcPr>
          <w:p w:rsidR="000E403C" w:rsidRPr="000E403C" w:rsidRDefault="000E403C" w:rsidP="000E403C">
            <w:pPr>
              <w:pStyle w:val="NoSpacing"/>
              <w:jc w:val="center"/>
              <w:rPr>
                <w:b w:val="0"/>
                <w:sz w:val="24"/>
              </w:rPr>
            </w:pPr>
            <w:r>
              <w:rPr>
                <w:b w:val="0"/>
                <w:sz w:val="24"/>
              </w:rPr>
              <w:t>4</w:t>
            </w:r>
          </w:p>
        </w:tc>
        <w:tc>
          <w:tcPr>
            <w:tcW w:w="2291" w:type="dxa"/>
            <w:tcBorders>
              <w:left w:val="none" w:sz="0" w:space="0" w:color="auto"/>
              <w:right w:val="none" w:sz="0" w:space="0" w:color="auto"/>
            </w:tcBorders>
          </w:tcPr>
          <w:p w:rsidR="000E403C" w:rsidRDefault="000E403C" w:rsidP="000E403C">
            <w:pPr>
              <w:pStyle w:val="NoSpacing"/>
              <w:jc w:val="center"/>
              <w:cnfStyle w:val="000000010000"/>
              <w:rPr>
                <w:sz w:val="24"/>
              </w:rPr>
            </w:pPr>
            <w:r>
              <w:rPr>
                <w:sz w:val="24"/>
              </w:rPr>
              <w:t>PlayStation 3</w:t>
            </w:r>
          </w:p>
        </w:tc>
        <w:tc>
          <w:tcPr>
            <w:tcW w:w="1704" w:type="dxa"/>
            <w:tcBorders>
              <w:left w:val="none" w:sz="0" w:space="0" w:color="auto"/>
              <w:right w:val="none" w:sz="0" w:space="0" w:color="auto"/>
            </w:tcBorders>
          </w:tcPr>
          <w:p w:rsidR="000E403C" w:rsidRDefault="000E403C" w:rsidP="000E403C">
            <w:pPr>
              <w:pStyle w:val="NoSpacing"/>
              <w:jc w:val="center"/>
              <w:cnfStyle w:val="000000010000"/>
              <w:rPr>
                <w:sz w:val="24"/>
              </w:rPr>
            </w:pPr>
            <w:r>
              <w:rPr>
                <w:sz w:val="24"/>
              </w:rPr>
              <w:t>2 264 100</w:t>
            </w:r>
          </w:p>
        </w:tc>
        <w:tc>
          <w:tcPr>
            <w:tcW w:w="1675" w:type="dxa"/>
            <w:tcBorders>
              <w:left w:val="none" w:sz="0" w:space="0" w:color="auto"/>
              <w:right w:val="none" w:sz="0" w:space="0" w:color="auto"/>
            </w:tcBorders>
          </w:tcPr>
          <w:p w:rsidR="000E403C" w:rsidRDefault="007F6326" w:rsidP="000E403C">
            <w:pPr>
              <w:pStyle w:val="NoSpacing"/>
              <w:jc w:val="center"/>
              <w:cnfStyle w:val="000000010000"/>
              <w:rPr>
                <w:sz w:val="24"/>
              </w:rPr>
            </w:pPr>
            <w:r>
              <w:rPr>
                <w:sz w:val="24"/>
              </w:rPr>
              <w:t>2 441 900</w:t>
            </w:r>
          </w:p>
        </w:tc>
        <w:tc>
          <w:tcPr>
            <w:tcW w:w="1151" w:type="dxa"/>
            <w:tcBorders>
              <w:left w:val="none" w:sz="0" w:space="0" w:color="auto"/>
              <w:right w:val="none" w:sz="0" w:space="0" w:color="auto"/>
            </w:tcBorders>
          </w:tcPr>
          <w:p w:rsidR="000E403C" w:rsidRDefault="00CA276F" w:rsidP="000E403C">
            <w:pPr>
              <w:pStyle w:val="NoSpacing"/>
              <w:jc w:val="center"/>
              <w:cnfStyle w:val="000000010000"/>
              <w:rPr>
                <w:sz w:val="24"/>
              </w:rPr>
            </w:pPr>
            <w:r>
              <w:rPr>
                <w:sz w:val="24"/>
              </w:rPr>
              <w:t>- 7 %</w:t>
            </w:r>
          </w:p>
        </w:tc>
        <w:tc>
          <w:tcPr>
            <w:tcW w:w="1612" w:type="dxa"/>
            <w:tcBorders>
              <w:left w:val="none" w:sz="0" w:space="0" w:color="auto"/>
            </w:tcBorders>
          </w:tcPr>
          <w:p w:rsidR="000E403C" w:rsidRDefault="000E403C" w:rsidP="000E403C">
            <w:pPr>
              <w:pStyle w:val="NoSpacing"/>
              <w:jc w:val="center"/>
              <w:cnfStyle w:val="000000010000"/>
              <w:rPr>
                <w:sz w:val="24"/>
              </w:rPr>
            </w:pPr>
            <w:r>
              <w:rPr>
                <w:sz w:val="24"/>
              </w:rPr>
              <w:t>9 053 100</w:t>
            </w:r>
          </w:p>
        </w:tc>
      </w:tr>
      <w:tr w:rsidR="000E403C" w:rsidTr="000E403C">
        <w:trPr>
          <w:cnfStyle w:val="000000100000"/>
          <w:jc w:val="center"/>
        </w:trPr>
        <w:tc>
          <w:tcPr>
            <w:cnfStyle w:val="001000000000"/>
            <w:tcW w:w="779" w:type="dxa"/>
            <w:tcBorders>
              <w:right w:val="none" w:sz="0" w:space="0" w:color="auto"/>
            </w:tcBorders>
          </w:tcPr>
          <w:p w:rsidR="000E403C" w:rsidRPr="000E403C" w:rsidRDefault="000E403C" w:rsidP="000E403C">
            <w:pPr>
              <w:pStyle w:val="NoSpacing"/>
              <w:jc w:val="center"/>
              <w:rPr>
                <w:b w:val="0"/>
                <w:sz w:val="24"/>
              </w:rPr>
            </w:pPr>
            <w:r>
              <w:rPr>
                <w:b w:val="0"/>
                <w:sz w:val="24"/>
              </w:rPr>
              <w:t>5</w:t>
            </w:r>
          </w:p>
        </w:tc>
        <w:tc>
          <w:tcPr>
            <w:tcW w:w="2291" w:type="dxa"/>
            <w:tcBorders>
              <w:left w:val="none" w:sz="0" w:space="0" w:color="auto"/>
              <w:right w:val="none" w:sz="0" w:space="0" w:color="auto"/>
            </w:tcBorders>
          </w:tcPr>
          <w:p w:rsidR="000E403C" w:rsidRDefault="000E403C" w:rsidP="000E403C">
            <w:pPr>
              <w:pStyle w:val="NoSpacing"/>
              <w:jc w:val="center"/>
              <w:cnfStyle w:val="000000100000"/>
              <w:rPr>
                <w:sz w:val="24"/>
              </w:rPr>
            </w:pPr>
            <w:r>
              <w:rPr>
                <w:sz w:val="24"/>
              </w:rPr>
              <w:t>PSP</w:t>
            </w:r>
          </w:p>
        </w:tc>
        <w:tc>
          <w:tcPr>
            <w:tcW w:w="1704" w:type="dxa"/>
            <w:tcBorders>
              <w:left w:val="none" w:sz="0" w:space="0" w:color="auto"/>
              <w:right w:val="none" w:sz="0" w:space="0" w:color="auto"/>
            </w:tcBorders>
          </w:tcPr>
          <w:p w:rsidR="000E403C" w:rsidRDefault="000E403C" w:rsidP="000E403C">
            <w:pPr>
              <w:pStyle w:val="NoSpacing"/>
              <w:jc w:val="center"/>
              <w:cnfStyle w:val="000000100000"/>
              <w:rPr>
                <w:sz w:val="24"/>
              </w:rPr>
            </w:pPr>
            <w:r>
              <w:rPr>
                <w:sz w:val="24"/>
              </w:rPr>
              <w:t>1 547 300</w:t>
            </w:r>
          </w:p>
        </w:tc>
        <w:tc>
          <w:tcPr>
            <w:tcW w:w="1675" w:type="dxa"/>
            <w:tcBorders>
              <w:left w:val="none" w:sz="0" w:space="0" w:color="auto"/>
              <w:right w:val="none" w:sz="0" w:space="0" w:color="auto"/>
            </w:tcBorders>
          </w:tcPr>
          <w:p w:rsidR="000E403C" w:rsidRDefault="007F6326" w:rsidP="000E403C">
            <w:pPr>
              <w:pStyle w:val="NoSpacing"/>
              <w:jc w:val="center"/>
              <w:cnfStyle w:val="000000100000"/>
              <w:rPr>
                <w:sz w:val="24"/>
              </w:rPr>
            </w:pPr>
            <w:r>
              <w:rPr>
                <w:sz w:val="24"/>
              </w:rPr>
              <w:t>2 388 600</w:t>
            </w:r>
          </w:p>
        </w:tc>
        <w:tc>
          <w:tcPr>
            <w:tcW w:w="1151" w:type="dxa"/>
            <w:tcBorders>
              <w:left w:val="none" w:sz="0" w:space="0" w:color="auto"/>
              <w:right w:val="none" w:sz="0" w:space="0" w:color="auto"/>
            </w:tcBorders>
          </w:tcPr>
          <w:p w:rsidR="000E403C" w:rsidRDefault="00CA276F" w:rsidP="000E403C">
            <w:pPr>
              <w:pStyle w:val="NoSpacing"/>
              <w:jc w:val="center"/>
              <w:cnfStyle w:val="000000100000"/>
              <w:rPr>
                <w:sz w:val="24"/>
              </w:rPr>
            </w:pPr>
            <w:r>
              <w:rPr>
                <w:sz w:val="24"/>
              </w:rPr>
              <w:t>- 35 %</w:t>
            </w:r>
          </w:p>
        </w:tc>
        <w:tc>
          <w:tcPr>
            <w:tcW w:w="1612" w:type="dxa"/>
            <w:tcBorders>
              <w:left w:val="none" w:sz="0" w:space="0" w:color="auto"/>
            </w:tcBorders>
          </w:tcPr>
          <w:p w:rsidR="000E403C" w:rsidRDefault="000E403C" w:rsidP="000E403C">
            <w:pPr>
              <w:pStyle w:val="NoSpacing"/>
              <w:jc w:val="center"/>
              <w:cnfStyle w:val="000000100000"/>
              <w:rPr>
                <w:sz w:val="24"/>
              </w:rPr>
            </w:pPr>
            <w:r>
              <w:rPr>
                <w:sz w:val="24"/>
              </w:rPr>
              <w:t>15 806 300</w:t>
            </w:r>
          </w:p>
        </w:tc>
      </w:tr>
      <w:tr w:rsidR="000E403C" w:rsidTr="000E403C">
        <w:trPr>
          <w:cnfStyle w:val="000000010000"/>
          <w:jc w:val="center"/>
        </w:trPr>
        <w:tc>
          <w:tcPr>
            <w:cnfStyle w:val="001000000000"/>
            <w:tcW w:w="779" w:type="dxa"/>
            <w:tcBorders>
              <w:right w:val="none" w:sz="0" w:space="0" w:color="auto"/>
            </w:tcBorders>
          </w:tcPr>
          <w:p w:rsidR="000E403C" w:rsidRPr="000E403C" w:rsidRDefault="000E403C" w:rsidP="000E403C">
            <w:pPr>
              <w:pStyle w:val="NoSpacing"/>
              <w:jc w:val="center"/>
              <w:rPr>
                <w:b w:val="0"/>
                <w:sz w:val="24"/>
              </w:rPr>
            </w:pPr>
            <w:r>
              <w:rPr>
                <w:b w:val="0"/>
                <w:sz w:val="24"/>
              </w:rPr>
              <w:t>6</w:t>
            </w:r>
          </w:p>
        </w:tc>
        <w:tc>
          <w:tcPr>
            <w:tcW w:w="2291" w:type="dxa"/>
            <w:tcBorders>
              <w:left w:val="none" w:sz="0" w:space="0" w:color="auto"/>
              <w:right w:val="none" w:sz="0" w:space="0" w:color="auto"/>
            </w:tcBorders>
          </w:tcPr>
          <w:p w:rsidR="000E403C" w:rsidRDefault="000E403C" w:rsidP="000E403C">
            <w:pPr>
              <w:pStyle w:val="NoSpacing"/>
              <w:jc w:val="center"/>
              <w:cnfStyle w:val="000000010000"/>
              <w:rPr>
                <w:sz w:val="24"/>
              </w:rPr>
            </w:pPr>
            <w:r>
              <w:rPr>
                <w:sz w:val="24"/>
              </w:rPr>
              <w:t>PlayStation 2</w:t>
            </w:r>
          </w:p>
        </w:tc>
        <w:tc>
          <w:tcPr>
            <w:tcW w:w="1704" w:type="dxa"/>
            <w:tcBorders>
              <w:left w:val="none" w:sz="0" w:space="0" w:color="auto"/>
              <w:right w:val="none" w:sz="0" w:space="0" w:color="auto"/>
            </w:tcBorders>
          </w:tcPr>
          <w:p w:rsidR="000E403C" w:rsidRDefault="000E403C" w:rsidP="000E403C">
            <w:pPr>
              <w:pStyle w:val="NoSpacing"/>
              <w:jc w:val="center"/>
              <w:cnfStyle w:val="000000010000"/>
              <w:rPr>
                <w:sz w:val="24"/>
              </w:rPr>
            </w:pPr>
            <w:r>
              <w:rPr>
                <w:sz w:val="24"/>
              </w:rPr>
              <w:t>1 263 600</w:t>
            </w:r>
          </w:p>
        </w:tc>
        <w:tc>
          <w:tcPr>
            <w:tcW w:w="1675" w:type="dxa"/>
            <w:tcBorders>
              <w:left w:val="none" w:sz="0" w:space="0" w:color="auto"/>
              <w:right w:val="none" w:sz="0" w:space="0" w:color="auto"/>
            </w:tcBorders>
          </w:tcPr>
          <w:p w:rsidR="000E403C" w:rsidRDefault="007F6326" w:rsidP="000E403C">
            <w:pPr>
              <w:pStyle w:val="NoSpacing"/>
              <w:jc w:val="center"/>
              <w:cnfStyle w:val="000000010000"/>
              <w:rPr>
                <w:sz w:val="24"/>
              </w:rPr>
            </w:pPr>
            <w:r>
              <w:rPr>
                <w:sz w:val="24"/>
              </w:rPr>
              <w:t>1 865 000</w:t>
            </w:r>
          </w:p>
        </w:tc>
        <w:tc>
          <w:tcPr>
            <w:tcW w:w="1151" w:type="dxa"/>
            <w:tcBorders>
              <w:left w:val="none" w:sz="0" w:space="0" w:color="auto"/>
              <w:right w:val="none" w:sz="0" w:space="0" w:color="auto"/>
            </w:tcBorders>
          </w:tcPr>
          <w:p w:rsidR="000E403C" w:rsidRDefault="00CA276F" w:rsidP="000E403C">
            <w:pPr>
              <w:pStyle w:val="NoSpacing"/>
              <w:jc w:val="center"/>
              <w:cnfStyle w:val="000000010000"/>
              <w:rPr>
                <w:sz w:val="24"/>
              </w:rPr>
            </w:pPr>
            <w:r>
              <w:rPr>
                <w:sz w:val="24"/>
              </w:rPr>
              <w:t>- 32 %</w:t>
            </w:r>
          </w:p>
        </w:tc>
        <w:tc>
          <w:tcPr>
            <w:tcW w:w="1612" w:type="dxa"/>
            <w:tcBorders>
              <w:left w:val="none" w:sz="0" w:space="0" w:color="auto"/>
            </w:tcBorders>
          </w:tcPr>
          <w:p w:rsidR="000E403C" w:rsidRDefault="000E403C" w:rsidP="000E403C">
            <w:pPr>
              <w:pStyle w:val="NoSpacing"/>
              <w:jc w:val="center"/>
              <w:cnfStyle w:val="000000010000"/>
              <w:rPr>
                <w:sz w:val="24"/>
              </w:rPr>
            </w:pPr>
            <w:r>
              <w:rPr>
                <w:sz w:val="24"/>
              </w:rPr>
              <w:t>44 909 600</w:t>
            </w:r>
          </w:p>
        </w:tc>
      </w:tr>
    </w:tbl>
    <w:p w:rsidR="000E403C" w:rsidRPr="0046301B" w:rsidRDefault="000E403C" w:rsidP="000E403C">
      <w:pPr>
        <w:pStyle w:val="NoSpacing"/>
        <w:rPr>
          <w:sz w:val="10"/>
        </w:rPr>
      </w:pPr>
    </w:p>
    <w:p w:rsidR="00685C03" w:rsidRDefault="00A77C93" w:rsidP="00A77C93">
      <w:pPr>
        <w:pStyle w:val="NoSpacing"/>
        <w:jc w:val="both"/>
        <w:rPr>
          <w:sz w:val="24"/>
        </w:rPr>
      </w:pPr>
      <w:r>
        <w:rPr>
          <w:sz w:val="24"/>
        </w:rPr>
        <w:t xml:space="preserve">Ce qu’on constate depuis le début de l’année se confirme, à l’exception de la PS3 qui depuis la sortie de la Slim rattrape son début d’année catastrophique. La Wii est elle en baisse très nette, et la tendance n’a pas été inversée en octobre où la machine a pourtant bénéficié d’une baisse de prix. Seule la PS2, qui a l’excuse d’être une console en fin de vie, et la PSP font pire baisse. Pour autant, la Wii se maintient toujours très largement devant ses concurrentes, prouvant malgré tout encore la démesure du succès de cette machine : même lorsqu’elle réalise des ventes décevantes et en forte baisse, elle reste le leader indétrônable de cette génération. En outre, Nintendo se porte définitivement bien puisque la DS est quant à elle en hausse, sur le point de réaliser la meilleure année de sa carrière aux USA, et même bien parti pour battre le record de la Wii de </w:t>
      </w:r>
      <w:r w:rsidR="00BB43B5">
        <w:rPr>
          <w:sz w:val="24"/>
        </w:rPr>
        <w:t>2008</w:t>
      </w:r>
      <w:r>
        <w:rPr>
          <w:sz w:val="24"/>
        </w:rPr>
        <w:t xml:space="preserve"> qui fut la première et toujours la seule pour l’instant à s’être vendue à plus de 10 millions d’</w:t>
      </w:r>
      <w:r w:rsidR="00CA2017">
        <w:rPr>
          <w:sz w:val="24"/>
        </w:rPr>
        <w:t>exemplaires en une année aux USA.</w:t>
      </w:r>
    </w:p>
    <w:p w:rsidR="00FC7612" w:rsidRPr="0046301B" w:rsidRDefault="00FC7612" w:rsidP="00A77C93">
      <w:pPr>
        <w:pStyle w:val="NoSpacing"/>
        <w:jc w:val="both"/>
        <w:rPr>
          <w:sz w:val="16"/>
        </w:rPr>
      </w:pPr>
    </w:p>
    <w:p w:rsidR="00FC7612" w:rsidRDefault="00FC7612" w:rsidP="00FC7612">
      <w:pPr>
        <w:pStyle w:val="NoSpacing"/>
        <w:jc w:val="center"/>
        <w:rPr>
          <w:sz w:val="24"/>
        </w:rPr>
      </w:pPr>
      <w:r w:rsidRPr="00FC7612">
        <w:rPr>
          <w:sz w:val="24"/>
        </w:rPr>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C7612" w:rsidRDefault="00FC7612" w:rsidP="00FC7612">
      <w:pPr>
        <w:pStyle w:val="NoSpacing"/>
        <w:rPr>
          <w:sz w:val="24"/>
        </w:rPr>
      </w:pPr>
    </w:p>
    <w:p w:rsidR="00FC7612" w:rsidRDefault="00FC7612" w:rsidP="00FC7612">
      <w:pPr>
        <w:pStyle w:val="NoSpacing"/>
        <w:jc w:val="both"/>
        <w:rPr>
          <w:sz w:val="24"/>
        </w:rPr>
      </w:pPr>
      <w:r>
        <w:rPr>
          <w:sz w:val="24"/>
        </w:rPr>
        <w:t xml:space="preserve">Dans son ensemble, l’industrie est en train de vivre sa première baisse depuis des années. On beaucoup de la crise comme explication, mais il est important de souligner que ce déclin a commencé en mars 2009, alors que la crise a elle débuté en septembre 2008. Et puis </w:t>
      </w:r>
      <w:r w:rsidR="0046301B">
        <w:rPr>
          <w:sz w:val="24"/>
        </w:rPr>
        <w:t xml:space="preserve">il n’y a rien eu de vraiment surprenant du côté des ventes consoles : la PS3 a souffert de sa baisse trop tardive, la Wii et la PSP et leurs manques de jeux, et les autres machines sont en hausse. Quant aux ventes de jeux, il faut bien dire que 2009 fut clairement moins chargé que 2008 et ses phénomènes </w:t>
      </w:r>
      <w:r w:rsidR="0046301B">
        <w:rPr>
          <w:i/>
          <w:sz w:val="24"/>
        </w:rPr>
        <w:t>GTA IV</w:t>
      </w:r>
      <w:r w:rsidR="0046301B">
        <w:rPr>
          <w:sz w:val="24"/>
        </w:rPr>
        <w:t xml:space="preserve">, </w:t>
      </w:r>
      <w:r w:rsidR="0046301B">
        <w:rPr>
          <w:i/>
          <w:sz w:val="24"/>
        </w:rPr>
        <w:t>Wii Fit</w:t>
      </w:r>
      <w:r w:rsidR="0046301B">
        <w:rPr>
          <w:sz w:val="24"/>
        </w:rPr>
        <w:t xml:space="preserve"> et </w:t>
      </w:r>
      <w:r w:rsidR="0046301B">
        <w:rPr>
          <w:i/>
          <w:sz w:val="24"/>
        </w:rPr>
        <w:t>Mario Kart Wii</w:t>
      </w:r>
      <w:r w:rsidR="0046301B">
        <w:rPr>
          <w:sz w:val="24"/>
        </w:rPr>
        <w:t>. En outre, il est important de garder en tête que malgré cette baisse, 2009 reste bien parti pour être la meilleure année de l’histoire du jeu vidéo aux USA, après 2008 donc.</w:t>
      </w:r>
    </w:p>
    <w:p w:rsidR="0046301B" w:rsidRPr="00BB43B5" w:rsidRDefault="00BB43B5" w:rsidP="00BB43B5">
      <w:pPr>
        <w:pStyle w:val="NoSpacing"/>
        <w:jc w:val="center"/>
        <w:rPr>
          <w:b/>
          <w:sz w:val="32"/>
          <w:u w:val="single"/>
        </w:rPr>
      </w:pPr>
      <w:r>
        <w:rPr>
          <w:b/>
          <w:sz w:val="32"/>
          <w:u w:val="single"/>
        </w:rPr>
        <w:lastRenderedPageBreak/>
        <w:t>Les succès de la Nintendo DS</w:t>
      </w:r>
    </w:p>
    <w:p w:rsidR="00BB43B5" w:rsidRPr="004020FC" w:rsidRDefault="00BB43B5" w:rsidP="00FC7612">
      <w:pPr>
        <w:pStyle w:val="NoSpacing"/>
        <w:jc w:val="both"/>
        <w:rPr>
          <w:sz w:val="10"/>
        </w:rPr>
      </w:pPr>
    </w:p>
    <w:p w:rsidR="00BB43B5" w:rsidRDefault="00BB43B5" w:rsidP="00FC7612">
      <w:pPr>
        <w:pStyle w:val="NoSpacing"/>
        <w:jc w:val="both"/>
        <w:rPr>
          <w:sz w:val="24"/>
        </w:rPr>
      </w:pPr>
      <w:r>
        <w:rPr>
          <w:sz w:val="24"/>
        </w:rPr>
        <w:t xml:space="preserve">La DS a connu quelques grosses sorties cette année, mais comme ailleurs, ceux qui se sont le plus démarqués sont finalement les vieilles valeurs sûres de Nintendo, principalement </w:t>
      </w:r>
      <w:r>
        <w:rPr>
          <w:i/>
          <w:sz w:val="24"/>
        </w:rPr>
        <w:t>Mario Kart DS</w:t>
      </w:r>
      <w:r>
        <w:rPr>
          <w:sz w:val="24"/>
        </w:rPr>
        <w:t xml:space="preserve"> et </w:t>
      </w:r>
      <w:r>
        <w:rPr>
          <w:i/>
          <w:sz w:val="24"/>
        </w:rPr>
        <w:t>New Super Mario Bros.</w:t>
      </w:r>
      <w:r>
        <w:rPr>
          <w:sz w:val="24"/>
        </w:rPr>
        <w:t>, régulièrement présents dans le top 20 malgré leur</w:t>
      </w:r>
      <w:r w:rsidR="00D677D8">
        <w:rPr>
          <w:sz w:val="24"/>
        </w:rPr>
        <w:t>s</w:t>
      </w:r>
      <w:r>
        <w:rPr>
          <w:sz w:val="24"/>
        </w:rPr>
        <w:t xml:space="preserve"> âge</w:t>
      </w:r>
      <w:r w:rsidR="00D677D8">
        <w:rPr>
          <w:sz w:val="24"/>
        </w:rPr>
        <w:t>s</w:t>
      </w:r>
      <w:r>
        <w:rPr>
          <w:sz w:val="24"/>
        </w:rPr>
        <w:t xml:space="preserve">. </w:t>
      </w:r>
      <w:r w:rsidR="00D677D8">
        <w:rPr>
          <w:sz w:val="24"/>
        </w:rPr>
        <w:t xml:space="preserve">Evidemment, il y a tout de même eu de grosses nouveautés cette année, à commencer par </w:t>
      </w:r>
      <w:r w:rsidR="00D677D8">
        <w:rPr>
          <w:i/>
          <w:sz w:val="24"/>
        </w:rPr>
        <w:t>Pokémon Platine</w:t>
      </w:r>
      <w:r w:rsidR="00D677D8">
        <w:rPr>
          <w:sz w:val="24"/>
        </w:rPr>
        <w:t xml:space="preserve"> qui a très logiquement cartonné, même si comme toujours on constate une popularité de la série inférieure aux USA qu’au Japon, alors que le marché japonais est clairement plus petit. En septembre, deux nouveaux phénomènes sont venus s’ajouter à la liste : </w:t>
      </w:r>
      <w:r w:rsidR="00D677D8">
        <w:rPr>
          <w:i/>
          <w:sz w:val="24"/>
        </w:rPr>
        <w:t>Mario &amp; Luigi 3</w:t>
      </w:r>
      <w:r w:rsidR="00D677D8">
        <w:rPr>
          <w:sz w:val="24"/>
        </w:rPr>
        <w:t xml:space="preserve"> qui a très bien démarré avec presque 260 000 exemplaires, et maintient à la 14</w:t>
      </w:r>
      <w:r w:rsidR="00D677D8" w:rsidRPr="00D677D8">
        <w:rPr>
          <w:sz w:val="24"/>
          <w:vertAlign w:val="superscript"/>
        </w:rPr>
        <w:t>ème</w:t>
      </w:r>
      <w:r w:rsidR="00D677D8">
        <w:rPr>
          <w:sz w:val="24"/>
        </w:rPr>
        <w:t xml:space="preserve"> place du classement en octobre, ce qui représente un score entre 120 000 et 150 000. La fin d’année devrait clairement aider ce titre à devenir l’une des meilleures ventes de l’année sur DS, qui atteindra probablement le million. L’autre grosse nouveauté DS de septembre fut le </w:t>
      </w:r>
      <w:r w:rsidR="00D677D8">
        <w:rPr>
          <w:i/>
          <w:sz w:val="24"/>
        </w:rPr>
        <w:t>Kingdom Hearts</w:t>
      </w:r>
      <w:r w:rsidR="00D677D8">
        <w:rPr>
          <w:sz w:val="24"/>
        </w:rPr>
        <w:t xml:space="preserve"> de la DS qui là encore, tel qu’on pouvait s’y attendre, fut une grande réussite. En deux mois, 450 000 exemplaires vendus, pour un jeu DS la performance est appréciable d’autant plus que là encore on peut s’attendre à de très bons chiffres pour les fêtes. Voilà qui confirme la popularité de la série aux USA, territoire où il s’agit tout simplement de la série la plus vendeuse de Square-Enix. Après tout, c’est ici, le pays de Disney.</w:t>
      </w:r>
    </w:p>
    <w:p w:rsidR="00D677D8" w:rsidRPr="004044D1" w:rsidRDefault="00D677D8" w:rsidP="00FC7612">
      <w:pPr>
        <w:pStyle w:val="NoSpacing"/>
        <w:jc w:val="both"/>
        <w:rPr>
          <w:sz w:val="10"/>
        </w:rPr>
      </w:pPr>
    </w:p>
    <w:p w:rsidR="004020FC" w:rsidRDefault="004020FC" w:rsidP="004020FC">
      <w:pPr>
        <w:pStyle w:val="NoSpacing"/>
        <w:jc w:val="center"/>
        <w:rPr>
          <w:sz w:val="24"/>
        </w:rPr>
      </w:pPr>
      <w:r>
        <w:rPr>
          <w:noProof/>
          <w:sz w:val="24"/>
          <w:lang w:eastAsia="fr-FR"/>
        </w:rPr>
        <w:drawing>
          <wp:inline distT="0" distB="0" distL="0" distR="0">
            <wp:extent cx="3705225" cy="2800158"/>
            <wp:effectExtent l="19050" t="0" r="9525" b="0"/>
            <wp:docPr id="3" name="Picture 2" descr="compteu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usa01.png"/>
                    <pic:cNvPicPr/>
                  </pic:nvPicPr>
                  <pic:blipFill>
                    <a:blip r:embed="rId7" cstate="print"/>
                    <a:stretch>
                      <a:fillRect/>
                    </a:stretch>
                  </pic:blipFill>
                  <pic:spPr>
                    <a:xfrm>
                      <a:off x="0" y="0"/>
                      <a:ext cx="3717166" cy="2809182"/>
                    </a:xfrm>
                    <a:prstGeom prst="rect">
                      <a:avLst/>
                    </a:prstGeom>
                  </pic:spPr>
                </pic:pic>
              </a:graphicData>
            </a:graphic>
          </wp:inline>
        </w:drawing>
      </w:r>
    </w:p>
    <w:p w:rsidR="004020FC" w:rsidRPr="004044D1" w:rsidRDefault="004020FC" w:rsidP="00FC7612">
      <w:pPr>
        <w:pStyle w:val="NoSpacing"/>
        <w:jc w:val="both"/>
        <w:rPr>
          <w:sz w:val="10"/>
        </w:rPr>
      </w:pPr>
    </w:p>
    <w:p w:rsidR="00D677D8" w:rsidRDefault="00D677D8" w:rsidP="004044D1">
      <w:pPr>
        <w:pStyle w:val="NoSpacing"/>
        <w:jc w:val="both"/>
        <w:rPr>
          <w:sz w:val="24"/>
        </w:rPr>
      </w:pPr>
      <w:r>
        <w:rPr>
          <w:sz w:val="24"/>
        </w:rPr>
        <w:t xml:space="preserve">Mais en dehors de tout ça la DS a tout de même bénéficié d’un certain nombre de succès certes moins importants mais efficace, à leur degré. Le plus récent est celui de </w:t>
      </w:r>
      <w:r>
        <w:rPr>
          <w:i/>
          <w:sz w:val="24"/>
        </w:rPr>
        <w:t>Scribblenauts</w:t>
      </w:r>
      <w:r>
        <w:rPr>
          <w:sz w:val="24"/>
        </w:rPr>
        <w:t>, ce titre original où l’on peut matérialiser tout ce qu’on écrit sur l’écran tactile. Un concept novateur qui paye, preuve que l’originalité est toujours ce qu’il y a de mieux pour se démarquer : plus de 190 000 exemplaire</w:t>
      </w:r>
      <w:r w:rsidR="004020FC">
        <w:rPr>
          <w:sz w:val="24"/>
        </w:rPr>
        <w:t xml:space="preserve">s vendus pour son premier mois. Mais dans le rôle des petits jeux il y a aussi certains titres de Nintendo dont une sortie en dehors du Japon était loin d’être assurée, comme </w:t>
      </w:r>
      <w:r w:rsidR="004020FC">
        <w:rPr>
          <w:i/>
          <w:sz w:val="24"/>
        </w:rPr>
        <w:t>Legendary Starfy</w:t>
      </w:r>
      <w:r w:rsidR="004020FC">
        <w:rPr>
          <w:sz w:val="24"/>
        </w:rPr>
        <w:t xml:space="preserve">, ce jeu de plate-forme très enfantin qui marchait très bien sur GBA au Japon. Nintendo a finalement sorti le quatrième opus chez les américains, premier épisode à voir le jour hors du Japon, et ce fut une réussite puisqu’avec plus de 120 000 exemplaires vendus pour son premier mois et un maintien dans le top 20 le mois suivant, le jeu a déjà dépassé le score total qu’il avait accompli au Japon. Dans le même esprit, </w:t>
      </w:r>
      <w:r w:rsidR="004020FC">
        <w:rPr>
          <w:i/>
          <w:sz w:val="24"/>
        </w:rPr>
        <w:t>Fossil Fighters</w:t>
      </w:r>
      <w:r w:rsidR="004020FC">
        <w:rPr>
          <w:sz w:val="24"/>
        </w:rPr>
        <w:t xml:space="preserve"> avec plus de 90 000 exemplaires et une place dans le top 10 pour son premier mois fut un des succès surprise de l’année sur DS.</w:t>
      </w:r>
    </w:p>
    <w:p w:rsidR="004044D1" w:rsidRPr="004044D1" w:rsidRDefault="004044D1" w:rsidP="004044D1">
      <w:pPr>
        <w:pStyle w:val="NoSpacing"/>
        <w:jc w:val="center"/>
        <w:rPr>
          <w:b/>
          <w:sz w:val="32"/>
          <w:u w:val="single"/>
        </w:rPr>
      </w:pPr>
      <w:r>
        <w:rPr>
          <w:b/>
          <w:sz w:val="32"/>
          <w:u w:val="single"/>
        </w:rPr>
        <w:lastRenderedPageBreak/>
        <w:t>Jeux de sport</w:t>
      </w:r>
    </w:p>
    <w:p w:rsidR="004044D1" w:rsidRPr="00416774" w:rsidRDefault="004044D1" w:rsidP="004044D1">
      <w:pPr>
        <w:pStyle w:val="NoSpacing"/>
        <w:rPr>
          <w:sz w:val="10"/>
        </w:rPr>
      </w:pPr>
    </w:p>
    <w:p w:rsidR="004044D1" w:rsidRDefault="004044D1" w:rsidP="004044D1">
      <w:pPr>
        <w:pStyle w:val="NoSpacing"/>
        <w:jc w:val="both"/>
        <w:rPr>
          <w:sz w:val="24"/>
        </w:rPr>
      </w:pPr>
      <w:r>
        <w:rPr>
          <w:sz w:val="24"/>
        </w:rPr>
        <w:t xml:space="preserve">L’année fut plutôt chargée côté jeux de sport. Bien sûr, ça ne change pas vraiment du côté des séries annuelles qui sont d’ailleurs presque toutes en baisses, mais il y a aussi eu des suites de séries un peu moins fréquentes, comme le quatrième volet des </w:t>
      </w:r>
      <w:r>
        <w:rPr>
          <w:i/>
          <w:sz w:val="24"/>
        </w:rPr>
        <w:t>Fight Night</w:t>
      </w:r>
      <w:r>
        <w:rPr>
          <w:sz w:val="24"/>
        </w:rPr>
        <w:t xml:space="preserve">, la plus populaire des simulations de boxe, qui a cartonné avec environ 700 000 exemplaires vendus en deux mois, en comptabilisant les ventes PS3 et Xbox 360. Electronic Arts, l’éditeur, peut se frotter les mains, d’autant qu’outre le sport, le géant américain domine aussi clairement le golf avec la série des </w:t>
      </w:r>
      <w:r>
        <w:rPr>
          <w:i/>
          <w:sz w:val="24"/>
        </w:rPr>
        <w:t>Tiger Woods</w:t>
      </w:r>
      <w:r>
        <w:rPr>
          <w:sz w:val="24"/>
        </w:rPr>
        <w:t xml:space="preserve"> qui a connu un énorme succès cette année grâce à la version Wii et son Wii Motion Plus. Plus de 530 000 exemplaires vendus en cumulant tous les supports pour son premier mois, dont plus de la moitié sur Wii. L’éditeur monopolise également le domaine du football américain, domine également Konami en ce qui concerne le vrai football avec </w:t>
      </w:r>
      <w:r>
        <w:rPr>
          <w:i/>
          <w:sz w:val="24"/>
        </w:rPr>
        <w:t>FIFA 10</w:t>
      </w:r>
      <w:r>
        <w:rPr>
          <w:sz w:val="24"/>
        </w:rPr>
        <w:t xml:space="preserve"> qui a tout de même réussi à dépasser les 150 000 uniquement sur 360 lors de son premier mois, ce qui est pas mal pour un sport si peu populaire aux USA.</w:t>
      </w:r>
    </w:p>
    <w:p w:rsidR="0036538F" w:rsidRDefault="0036538F" w:rsidP="004044D1">
      <w:pPr>
        <w:pStyle w:val="NoSpacing"/>
        <w:jc w:val="both"/>
        <w:rPr>
          <w:sz w:val="24"/>
        </w:rPr>
      </w:pPr>
    </w:p>
    <w:tbl>
      <w:tblPr>
        <w:tblStyle w:val="MediumShading1-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8"/>
        <w:gridCol w:w="1562"/>
        <w:gridCol w:w="1536"/>
        <w:gridCol w:w="1531"/>
        <w:gridCol w:w="1536"/>
        <w:gridCol w:w="1565"/>
      </w:tblGrid>
      <w:tr w:rsidR="00416774" w:rsidRPr="00EB224B" w:rsidTr="00C85D8B">
        <w:trPr>
          <w:cnfStyle w:val="100000000000"/>
          <w:jc w:val="center"/>
        </w:trPr>
        <w:tc>
          <w:tcPr>
            <w:cnfStyle w:val="001000000000"/>
            <w:tcW w:w="1767"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rPr>
                <w:sz w:val="24"/>
                <w:lang w:val="en-US"/>
              </w:rPr>
            </w:pPr>
            <w:r w:rsidRPr="00EB224B">
              <w:rPr>
                <w:sz w:val="24"/>
                <w:lang w:val="en-US"/>
              </w:rPr>
              <w:t>Nom du jeu</w:t>
            </w:r>
          </w:p>
        </w:tc>
        <w:tc>
          <w:tcPr>
            <w:tcW w:w="1767"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X360</w:t>
            </w:r>
          </w:p>
        </w:tc>
        <w:tc>
          <w:tcPr>
            <w:tcW w:w="1768"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PS3</w:t>
            </w:r>
          </w:p>
        </w:tc>
        <w:tc>
          <w:tcPr>
            <w:tcW w:w="1768"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Wii</w:t>
            </w:r>
          </w:p>
        </w:tc>
        <w:tc>
          <w:tcPr>
            <w:tcW w:w="1768"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PS2</w:t>
            </w:r>
          </w:p>
        </w:tc>
        <w:tc>
          <w:tcPr>
            <w:tcW w:w="1768"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Total</w:t>
            </w:r>
          </w:p>
        </w:tc>
      </w:tr>
      <w:tr w:rsidR="00416774" w:rsidRPr="00EB224B" w:rsidTr="00C85D8B">
        <w:trPr>
          <w:cnfStyle w:val="000000100000"/>
          <w:jc w:val="center"/>
        </w:trPr>
        <w:tc>
          <w:tcPr>
            <w:cnfStyle w:val="001000000000"/>
            <w:tcW w:w="1767" w:type="dxa"/>
            <w:tcBorders>
              <w:right w:val="none" w:sz="0" w:space="0" w:color="auto"/>
            </w:tcBorders>
          </w:tcPr>
          <w:p w:rsidR="00416774" w:rsidRDefault="00416774" w:rsidP="00C85D8B">
            <w:pPr>
              <w:pStyle w:val="NoSpacing"/>
              <w:rPr>
                <w:sz w:val="24"/>
                <w:lang w:val="en-US"/>
              </w:rPr>
            </w:pPr>
            <w:r>
              <w:rPr>
                <w:sz w:val="24"/>
                <w:lang w:val="en-US"/>
              </w:rPr>
              <w:t>NBA 2k10</w:t>
            </w:r>
          </w:p>
        </w:tc>
        <w:tc>
          <w:tcPr>
            <w:tcW w:w="1767" w:type="dxa"/>
            <w:tcBorders>
              <w:left w:val="none" w:sz="0" w:space="0" w:color="auto"/>
              <w:right w:val="none" w:sz="0" w:space="0" w:color="auto"/>
            </w:tcBorders>
          </w:tcPr>
          <w:p w:rsidR="00416774" w:rsidRDefault="00416774" w:rsidP="00C85D8B">
            <w:pPr>
              <w:pStyle w:val="NoSpacing"/>
              <w:jc w:val="center"/>
              <w:cnfStyle w:val="000000100000"/>
              <w:rPr>
                <w:sz w:val="24"/>
                <w:lang w:val="en-US"/>
              </w:rPr>
            </w:pPr>
            <w:r>
              <w:rPr>
                <w:sz w:val="24"/>
                <w:lang w:val="en-US"/>
              </w:rPr>
              <w:t>311 000</w:t>
            </w:r>
          </w:p>
        </w:tc>
        <w:tc>
          <w:tcPr>
            <w:tcW w:w="1768" w:type="dxa"/>
            <w:tcBorders>
              <w:left w:val="none" w:sz="0" w:space="0" w:color="auto"/>
              <w:right w:val="none" w:sz="0" w:space="0" w:color="auto"/>
            </w:tcBorders>
          </w:tcPr>
          <w:p w:rsidR="00416774" w:rsidRDefault="00416774" w:rsidP="00C85D8B">
            <w:pPr>
              <w:pStyle w:val="NoSpacing"/>
              <w:jc w:val="center"/>
              <w:cnfStyle w:val="000000100000"/>
              <w:rPr>
                <w:sz w:val="24"/>
                <w:lang w:val="en-US"/>
              </w:rPr>
            </w:pPr>
            <w:r>
              <w:rPr>
                <w:sz w:val="24"/>
                <w:lang w:val="en-US"/>
              </w:rPr>
              <w:t>213 000</w:t>
            </w:r>
          </w:p>
        </w:tc>
        <w:tc>
          <w:tcPr>
            <w:tcW w:w="3536" w:type="dxa"/>
            <w:gridSpan w:val="2"/>
            <w:tcBorders>
              <w:left w:val="none" w:sz="0" w:space="0" w:color="auto"/>
              <w:right w:val="none" w:sz="0" w:space="0" w:color="auto"/>
            </w:tcBorders>
          </w:tcPr>
          <w:p w:rsidR="00416774" w:rsidRDefault="00416774" w:rsidP="00C85D8B">
            <w:pPr>
              <w:pStyle w:val="NoSpacing"/>
              <w:jc w:val="center"/>
              <w:cnfStyle w:val="000000100000"/>
              <w:rPr>
                <w:sz w:val="24"/>
                <w:lang w:val="en-US"/>
              </w:rPr>
            </w:pPr>
            <w:r>
              <w:rPr>
                <w:sz w:val="24"/>
                <w:lang w:val="en-US"/>
              </w:rPr>
              <w:t>51 000 (+ PSP/PC)</w:t>
            </w:r>
          </w:p>
        </w:tc>
        <w:tc>
          <w:tcPr>
            <w:tcW w:w="1768" w:type="dxa"/>
            <w:tcBorders>
              <w:left w:val="none" w:sz="0" w:space="0" w:color="auto"/>
            </w:tcBorders>
          </w:tcPr>
          <w:p w:rsidR="00416774" w:rsidRDefault="00416774" w:rsidP="00C85D8B">
            <w:pPr>
              <w:pStyle w:val="NoSpacing"/>
              <w:jc w:val="center"/>
              <w:cnfStyle w:val="000000100000"/>
              <w:rPr>
                <w:sz w:val="24"/>
                <w:lang w:val="en-US"/>
              </w:rPr>
            </w:pPr>
            <w:r>
              <w:rPr>
                <w:sz w:val="24"/>
                <w:lang w:val="en-US"/>
              </w:rPr>
              <w:t>575 000</w:t>
            </w:r>
          </w:p>
        </w:tc>
      </w:tr>
      <w:tr w:rsidR="00416774" w:rsidRPr="00EB224B" w:rsidTr="00C85D8B">
        <w:trPr>
          <w:cnfStyle w:val="000000010000"/>
          <w:jc w:val="center"/>
        </w:trPr>
        <w:tc>
          <w:tcPr>
            <w:cnfStyle w:val="001000000000"/>
            <w:tcW w:w="1767" w:type="dxa"/>
            <w:tcBorders>
              <w:right w:val="none" w:sz="0" w:space="0" w:color="auto"/>
            </w:tcBorders>
          </w:tcPr>
          <w:p w:rsidR="00416774" w:rsidRDefault="00416774" w:rsidP="00C85D8B">
            <w:pPr>
              <w:pStyle w:val="NoSpacing"/>
              <w:rPr>
                <w:sz w:val="24"/>
                <w:lang w:val="en-US"/>
              </w:rPr>
            </w:pPr>
            <w:r>
              <w:rPr>
                <w:sz w:val="24"/>
                <w:lang w:val="en-US"/>
              </w:rPr>
              <w:t>NBA Live 10</w:t>
            </w:r>
          </w:p>
        </w:tc>
        <w:tc>
          <w:tcPr>
            <w:tcW w:w="3535" w:type="dxa"/>
            <w:gridSpan w:val="2"/>
            <w:tcBorders>
              <w:left w:val="none" w:sz="0" w:space="0" w:color="auto"/>
              <w:right w:val="none" w:sz="0" w:space="0" w:color="auto"/>
            </w:tcBorders>
          </w:tcPr>
          <w:p w:rsidR="00416774" w:rsidRDefault="00416774" w:rsidP="00C85D8B">
            <w:pPr>
              <w:pStyle w:val="NoSpacing"/>
              <w:jc w:val="center"/>
              <w:cnfStyle w:val="000000010000"/>
              <w:rPr>
                <w:sz w:val="24"/>
                <w:lang w:val="en-US"/>
              </w:rPr>
            </w:pPr>
            <w:r>
              <w:rPr>
                <w:sz w:val="24"/>
                <w:lang w:val="en-US"/>
              </w:rPr>
              <w:t>141 000</w:t>
            </w:r>
          </w:p>
        </w:tc>
        <w:tc>
          <w:tcPr>
            <w:tcW w:w="1768" w:type="dxa"/>
            <w:tcBorders>
              <w:left w:val="none" w:sz="0" w:space="0" w:color="auto"/>
              <w:right w:val="none" w:sz="0" w:space="0" w:color="auto"/>
            </w:tcBorders>
          </w:tcPr>
          <w:p w:rsidR="00416774" w:rsidRDefault="00416774" w:rsidP="00C85D8B">
            <w:pPr>
              <w:pStyle w:val="NoSpacing"/>
              <w:jc w:val="center"/>
              <w:cnfStyle w:val="000000010000"/>
              <w:rPr>
                <w:sz w:val="24"/>
                <w:lang w:val="en-US"/>
              </w:rPr>
            </w:pPr>
            <w:r>
              <w:rPr>
                <w:sz w:val="24"/>
                <w:lang w:val="en-US"/>
              </w:rPr>
              <w:t>--</w:t>
            </w:r>
          </w:p>
        </w:tc>
        <w:tc>
          <w:tcPr>
            <w:tcW w:w="1768" w:type="dxa"/>
            <w:tcBorders>
              <w:left w:val="none" w:sz="0" w:space="0" w:color="auto"/>
              <w:right w:val="none" w:sz="0" w:space="0" w:color="auto"/>
            </w:tcBorders>
          </w:tcPr>
          <w:p w:rsidR="00416774" w:rsidRDefault="00416774" w:rsidP="00C85D8B">
            <w:pPr>
              <w:pStyle w:val="NoSpacing"/>
              <w:jc w:val="center"/>
              <w:cnfStyle w:val="000000010000"/>
              <w:rPr>
                <w:sz w:val="24"/>
                <w:lang w:val="en-US"/>
              </w:rPr>
            </w:pPr>
            <w:r>
              <w:rPr>
                <w:sz w:val="24"/>
                <w:lang w:val="en-US"/>
              </w:rPr>
              <w:t>--</w:t>
            </w:r>
          </w:p>
        </w:tc>
        <w:tc>
          <w:tcPr>
            <w:tcW w:w="1768" w:type="dxa"/>
            <w:tcBorders>
              <w:left w:val="none" w:sz="0" w:space="0" w:color="auto"/>
            </w:tcBorders>
          </w:tcPr>
          <w:p w:rsidR="00416774" w:rsidRDefault="00416774" w:rsidP="00C85D8B">
            <w:pPr>
              <w:pStyle w:val="NoSpacing"/>
              <w:jc w:val="center"/>
              <w:cnfStyle w:val="000000010000"/>
              <w:rPr>
                <w:sz w:val="24"/>
                <w:lang w:val="en-US"/>
              </w:rPr>
            </w:pPr>
            <w:r>
              <w:rPr>
                <w:sz w:val="24"/>
                <w:lang w:val="en-US"/>
              </w:rPr>
              <w:t>141 000</w:t>
            </w:r>
          </w:p>
        </w:tc>
      </w:tr>
    </w:tbl>
    <w:p w:rsidR="00416774" w:rsidRDefault="00416774" w:rsidP="004044D1">
      <w:pPr>
        <w:pStyle w:val="NoSpacing"/>
        <w:jc w:val="both"/>
        <w:rPr>
          <w:sz w:val="24"/>
        </w:rPr>
      </w:pPr>
    </w:p>
    <w:p w:rsidR="004044D1" w:rsidRDefault="004044D1" w:rsidP="004044D1">
      <w:pPr>
        <w:pStyle w:val="NoSpacing"/>
        <w:jc w:val="both"/>
        <w:rPr>
          <w:sz w:val="24"/>
        </w:rPr>
      </w:pPr>
      <w:r>
        <w:rPr>
          <w:sz w:val="24"/>
        </w:rPr>
        <w:t xml:space="preserve">Néanmoins, EA ne domine pas non plus le jeu sportif à tous les niveaux. Take Two continue à s’imposer en maître incontesté du côté des jeux de basket avec presque 600 000 exemplaires vendus (tous supports confondus) pour </w:t>
      </w:r>
      <w:r>
        <w:rPr>
          <w:i/>
          <w:sz w:val="24"/>
        </w:rPr>
        <w:t>NBA 2k10</w:t>
      </w:r>
      <w:r>
        <w:rPr>
          <w:sz w:val="24"/>
        </w:rPr>
        <w:t xml:space="preserve"> contre moins de 150 000 pour le </w:t>
      </w:r>
      <w:r>
        <w:rPr>
          <w:i/>
          <w:sz w:val="24"/>
        </w:rPr>
        <w:t>NBA Live 10</w:t>
      </w:r>
      <w:r>
        <w:rPr>
          <w:sz w:val="24"/>
        </w:rPr>
        <w:t>.</w:t>
      </w:r>
      <w:r w:rsidR="004D6FD7">
        <w:rPr>
          <w:sz w:val="24"/>
        </w:rPr>
        <w:t xml:space="preserve"> Il y aussi les domaines où EA est absent, comme le baseball, sport auparavant monopolisé par Take Two et ses </w:t>
      </w:r>
      <w:r w:rsidR="004D6FD7">
        <w:rPr>
          <w:i/>
          <w:sz w:val="24"/>
        </w:rPr>
        <w:t>Major League Baseball</w:t>
      </w:r>
      <w:r w:rsidR="004D6FD7">
        <w:rPr>
          <w:sz w:val="24"/>
        </w:rPr>
        <w:t xml:space="preserve">, mais cette année, rappelons que Sony s’est très bien imposé sur ses propres consoles avec </w:t>
      </w:r>
      <w:r w:rsidR="004D6FD7">
        <w:rPr>
          <w:i/>
          <w:sz w:val="24"/>
        </w:rPr>
        <w:t>MLB 09</w:t>
      </w:r>
      <w:r w:rsidR="004D6FD7">
        <w:rPr>
          <w:sz w:val="24"/>
        </w:rPr>
        <w:t xml:space="preserve"> qui a surpassé le titre de Take Two. Côté tennis, là aussi EA figure parmi les absents mais a tenu à se rattraper cette année avec </w:t>
      </w:r>
      <w:r w:rsidR="004D6FD7">
        <w:rPr>
          <w:i/>
          <w:sz w:val="24"/>
        </w:rPr>
        <w:t>Grand Chelem Tennis</w:t>
      </w:r>
      <w:r w:rsidR="004D6FD7">
        <w:rPr>
          <w:sz w:val="24"/>
        </w:rPr>
        <w:t xml:space="preserve"> qui est sorti sur Wii en juin. Grosses licences (tous les tournois du Grand Chelem, tous les plus grand joueurs de tennis dont les anciens), compatibilité Wii Motion Plus et style graphique adapté à la console de Nintendo n’y auront pas suffit. Le jeu à fait un démarrage à peine supérieure à 50 000 exemplaires. EA a de quoi se consoler en constatant que dans le même temps, Sega a fait un véritable bide avec </w:t>
      </w:r>
      <w:r w:rsidR="004D6FD7">
        <w:rPr>
          <w:i/>
          <w:sz w:val="24"/>
        </w:rPr>
        <w:t>Virtua Tennis 2009</w:t>
      </w:r>
      <w:r w:rsidR="004D6FD7">
        <w:rPr>
          <w:sz w:val="24"/>
        </w:rPr>
        <w:t xml:space="preserve"> (27 000 exemplaires en rajoutant les versions PS3 et 360).</w:t>
      </w:r>
    </w:p>
    <w:p w:rsidR="0036538F" w:rsidRDefault="0036538F" w:rsidP="004044D1">
      <w:pPr>
        <w:pStyle w:val="NoSpacing"/>
        <w:jc w:val="both"/>
        <w:rPr>
          <w:sz w:val="24"/>
        </w:rPr>
      </w:pPr>
    </w:p>
    <w:p w:rsidR="0036538F" w:rsidRDefault="0036538F" w:rsidP="0036538F">
      <w:pPr>
        <w:pStyle w:val="NoSpacing"/>
        <w:jc w:val="center"/>
        <w:rPr>
          <w:sz w:val="24"/>
        </w:rPr>
      </w:pPr>
      <w:r w:rsidRPr="0036538F">
        <w:rPr>
          <w:sz w:val="24"/>
        </w:rPr>
        <w:drawing>
          <wp:inline distT="0" distB="0" distL="0" distR="0">
            <wp:extent cx="4572000" cy="27432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D6FD7" w:rsidRDefault="004D6FD7" w:rsidP="004044D1">
      <w:pPr>
        <w:pStyle w:val="NoSpacing"/>
        <w:jc w:val="both"/>
        <w:rPr>
          <w:sz w:val="24"/>
        </w:rPr>
      </w:pPr>
      <w:r>
        <w:rPr>
          <w:sz w:val="24"/>
        </w:rPr>
        <w:lastRenderedPageBreak/>
        <w:t xml:space="preserve">Mais au final, </w:t>
      </w:r>
      <w:r w:rsidR="009E2CC1">
        <w:rPr>
          <w:sz w:val="24"/>
        </w:rPr>
        <w:t xml:space="preserve">ce qui pose probablement le plus problème à Electronic Arts c’est le déclin de ses jeux de football américain. La société, détentrice des droits exclusifs de la NFL, accuse ainsi une baisse de 17 % pour sa série principale </w:t>
      </w:r>
      <w:r w:rsidR="009E2CC1">
        <w:rPr>
          <w:i/>
          <w:sz w:val="24"/>
        </w:rPr>
        <w:t>Madden NFL</w:t>
      </w:r>
      <w:r w:rsidR="009E2CC1">
        <w:rPr>
          <w:sz w:val="24"/>
        </w:rPr>
        <w:t xml:space="preserve">, par rapport à l’année dernière, et une baisse de 14 % pour l’autre série, </w:t>
      </w:r>
      <w:r w:rsidR="009E2CC1">
        <w:rPr>
          <w:i/>
          <w:sz w:val="24"/>
        </w:rPr>
        <w:t>NCAA Football</w:t>
      </w:r>
      <w:r w:rsidR="009E2CC1">
        <w:rPr>
          <w:sz w:val="24"/>
        </w:rPr>
        <w:t>.</w:t>
      </w:r>
      <w:r w:rsidR="009C5D54">
        <w:rPr>
          <w:sz w:val="24"/>
        </w:rPr>
        <w:t xml:space="preserve"> Le genre de situation que connaît bien THQ, grand spécialiste des jeux de catch pour qui la série référence du genre, </w:t>
      </w:r>
      <w:r w:rsidR="009C5D54">
        <w:rPr>
          <w:i/>
          <w:sz w:val="24"/>
        </w:rPr>
        <w:t>Smackdown Vs. Raw</w:t>
      </w:r>
      <w:r w:rsidR="009C5D54">
        <w:rPr>
          <w:sz w:val="24"/>
        </w:rPr>
        <w:t xml:space="preserve">, est en déclin depuis depuis de nombreuses années. Mais cette année, en plein dans la tourmente financière, THQ a su trouver l’échappatoire. Fort de son expérience en matière de catch, l’éditeur a récupéré les droits de l’UFC, la principale ligue de free fight, le sport en pleine expansion ces dernières années. Et c’est le coup de maître de l’année : avec plus de 1,5 million d’exemplaires vendus en moins de deux mois sur PS3 et 360, </w:t>
      </w:r>
      <w:r w:rsidR="009C5D54">
        <w:rPr>
          <w:i/>
          <w:sz w:val="24"/>
        </w:rPr>
        <w:t>UFC 2009 Undisputed</w:t>
      </w:r>
      <w:r w:rsidR="009C5D54">
        <w:rPr>
          <w:sz w:val="24"/>
        </w:rPr>
        <w:t xml:space="preserve"> est devenu la simulation sportive la plus populaire de l’année, derrière </w:t>
      </w:r>
      <w:r w:rsidR="009C5D54">
        <w:rPr>
          <w:i/>
          <w:sz w:val="24"/>
        </w:rPr>
        <w:t>Madden NFL 10</w:t>
      </w:r>
      <w:r w:rsidR="009C5D54">
        <w:rPr>
          <w:sz w:val="24"/>
        </w:rPr>
        <w:t xml:space="preserve">. Sans surprise, une version 2010 est prévue, et EA cherche à profiter de cette nouvelle poule aux œufs d’or en développant actuellement </w:t>
      </w:r>
      <w:r w:rsidR="009C5D54">
        <w:rPr>
          <w:i/>
          <w:sz w:val="24"/>
        </w:rPr>
        <w:t>EA Sports MMA</w:t>
      </w:r>
      <w:r w:rsidR="009C5D54">
        <w:rPr>
          <w:sz w:val="24"/>
        </w:rPr>
        <w:t>, MMA pour Mixed Martial Arts, le terme en vigueur pour désigner le free fight.</w:t>
      </w:r>
    </w:p>
    <w:p w:rsidR="007D5454" w:rsidRPr="007D5454" w:rsidRDefault="007D5454" w:rsidP="004044D1">
      <w:pPr>
        <w:pStyle w:val="NoSpacing"/>
        <w:jc w:val="both"/>
        <w:rPr>
          <w:sz w:val="10"/>
        </w:rPr>
      </w:pPr>
    </w:p>
    <w:p w:rsidR="007D5454" w:rsidRDefault="007D5454" w:rsidP="007D5454">
      <w:pPr>
        <w:pStyle w:val="NoSpacing"/>
        <w:jc w:val="center"/>
        <w:rPr>
          <w:sz w:val="24"/>
        </w:rPr>
      </w:pPr>
      <w:r w:rsidRPr="007D5454">
        <w:rPr>
          <w:sz w:val="24"/>
        </w:rPr>
        <w:drawing>
          <wp:inline distT="0" distB="0" distL="0" distR="0">
            <wp:extent cx="4597727" cy="2770059"/>
            <wp:effectExtent l="19050" t="0" r="0" b="0"/>
            <wp:docPr id="6" name="Picture 1" descr="madden-first-month-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n-first-month-history.png"/>
                    <pic:cNvPicPr/>
                  </pic:nvPicPr>
                  <pic:blipFill>
                    <a:blip r:embed="rId9" cstate="print"/>
                    <a:stretch>
                      <a:fillRect/>
                    </a:stretch>
                  </pic:blipFill>
                  <pic:spPr>
                    <a:xfrm>
                      <a:off x="0" y="0"/>
                      <a:ext cx="4597629" cy="2770000"/>
                    </a:xfrm>
                    <a:prstGeom prst="rect">
                      <a:avLst/>
                    </a:prstGeom>
                  </pic:spPr>
                </pic:pic>
              </a:graphicData>
            </a:graphic>
          </wp:inline>
        </w:drawing>
      </w:r>
    </w:p>
    <w:p w:rsidR="007D5454" w:rsidRPr="007D5454" w:rsidRDefault="007D5454" w:rsidP="007D5454">
      <w:pPr>
        <w:pStyle w:val="NoSpacing"/>
        <w:jc w:val="both"/>
        <w:rPr>
          <w:sz w:val="10"/>
        </w:rPr>
      </w:pPr>
    </w:p>
    <w:p w:rsidR="007D5454" w:rsidRDefault="007D5454" w:rsidP="007D5454">
      <w:pPr>
        <w:pStyle w:val="NoSpacing"/>
        <w:jc w:val="both"/>
        <w:rPr>
          <w:sz w:val="24"/>
        </w:rPr>
      </w:pPr>
      <w:r>
        <w:rPr>
          <w:sz w:val="24"/>
        </w:rPr>
        <w:t xml:space="preserve">On signalera enfin que le sport reste un domaine très en vogue sur Wii, où </w:t>
      </w:r>
      <w:r>
        <w:rPr>
          <w:i/>
          <w:sz w:val="24"/>
        </w:rPr>
        <w:t>Wii Sports Resort</w:t>
      </w:r>
      <w:r>
        <w:rPr>
          <w:sz w:val="24"/>
        </w:rPr>
        <w:t xml:space="preserve"> peut facilement être considéré comme la grosse nouveauté de l’année, bien parti pour dépasser les 3 millions d’exemplaires vendus avant le nouvel an. Et tout ça, sans la moindre licence… Dans le même genre d’idée, on rappelle que </w:t>
      </w:r>
      <w:r>
        <w:rPr>
          <w:i/>
          <w:sz w:val="24"/>
        </w:rPr>
        <w:t>Punch-Out !!</w:t>
      </w:r>
      <w:r>
        <w:rPr>
          <w:sz w:val="24"/>
        </w:rPr>
        <w:t xml:space="preserve"> a très bien réussi son coup avec plus de 300 000 exemplaires vendus. Pas mal, pour une série aussi vieille.</w:t>
      </w:r>
    </w:p>
    <w:p w:rsidR="007D5454" w:rsidRPr="007D5454" w:rsidRDefault="007D5454" w:rsidP="007D5454">
      <w:pPr>
        <w:pStyle w:val="NoSpacing"/>
        <w:jc w:val="both"/>
        <w:rPr>
          <w:sz w:val="10"/>
        </w:rPr>
      </w:pPr>
    </w:p>
    <w:p w:rsidR="007D5454" w:rsidRDefault="007D5454" w:rsidP="007D5454">
      <w:pPr>
        <w:pStyle w:val="NoSpacing"/>
        <w:jc w:val="center"/>
        <w:rPr>
          <w:sz w:val="24"/>
        </w:rPr>
      </w:pPr>
      <w:r>
        <w:rPr>
          <w:noProof/>
          <w:sz w:val="24"/>
          <w:lang w:eastAsia="fr-FR"/>
        </w:rPr>
        <w:drawing>
          <wp:inline distT="0" distB="0" distL="0" distR="0">
            <wp:extent cx="3971925" cy="2343225"/>
            <wp:effectExtent l="19050" t="0" r="9525" b="0"/>
            <wp:docPr id="7" name="Picture 6" descr="compteu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usa02.png"/>
                    <pic:cNvPicPr/>
                  </pic:nvPicPr>
                  <pic:blipFill>
                    <a:blip r:embed="rId10" cstate="print"/>
                    <a:stretch>
                      <a:fillRect/>
                    </a:stretch>
                  </pic:blipFill>
                  <pic:spPr>
                    <a:xfrm>
                      <a:off x="0" y="0"/>
                      <a:ext cx="3993875" cy="2356174"/>
                    </a:xfrm>
                    <a:prstGeom prst="rect">
                      <a:avLst/>
                    </a:prstGeom>
                  </pic:spPr>
                </pic:pic>
              </a:graphicData>
            </a:graphic>
          </wp:inline>
        </w:drawing>
      </w:r>
    </w:p>
    <w:p w:rsidR="00654A4D" w:rsidRPr="004044D1" w:rsidRDefault="00654A4D" w:rsidP="00654A4D">
      <w:pPr>
        <w:pStyle w:val="NoSpacing"/>
        <w:jc w:val="center"/>
        <w:rPr>
          <w:b/>
          <w:sz w:val="32"/>
          <w:u w:val="single"/>
        </w:rPr>
      </w:pPr>
      <w:r>
        <w:rPr>
          <w:b/>
          <w:sz w:val="32"/>
          <w:u w:val="single"/>
        </w:rPr>
        <w:lastRenderedPageBreak/>
        <w:t>Jeux musicaux</w:t>
      </w:r>
    </w:p>
    <w:p w:rsidR="007D5454" w:rsidRDefault="007D5454" w:rsidP="007D5454">
      <w:pPr>
        <w:pStyle w:val="NoSpacing"/>
        <w:rPr>
          <w:sz w:val="24"/>
        </w:rPr>
      </w:pPr>
    </w:p>
    <w:p w:rsidR="007D5454" w:rsidRDefault="00654A4D" w:rsidP="003B7548">
      <w:pPr>
        <w:pStyle w:val="NoSpacing"/>
        <w:jc w:val="both"/>
        <w:rPr>
          <w:sz w:val="24"/>
        </w:rPr>
      </w:pPr>
      <w:r>
        <w:rPr>
          <w:sz w:val="24"/>
        </w:rPr>
        <w:t xml:space="preserve">Ah, les jeux musicaux. Voilà un domaine </w:t>
      </w:r>
      <w:r w:rsidR="003B7548">
        <w:rPr>
          <w:sz w:val="24"/>
        </w:rPr>
        <w:t xml:space="preserve">autrefois réservés aux japonais où aux hardcore occidentaux, puis devenu l’un des genres les plus grand public du marché. Un phénomène de mode qui est en train de connaître lui aussi son déclin, sans doute bien plus violent celui là. Les éditeurs américains, incompétents, il n’y a pas d’autre mots (surtout Activision), n’ont pas été fichu d’apprendre des erreurs des japonais et on reproduit exactement le même schéma : par excès de gourmandise, ils ont abreuvé le public d’une multitude suite à une fréquence insoutenable, conduisant inévitablement au même résultat que ce qui s’était déroulé au Japon il y a quelques années : les jeux se vendent presque 10 fois moins bien. Oh le genre n’est pas non plus encore mort, et l’alliance Electronic Arts/MTV, menée par le studio Harmonix (responsable de ce boom musical avec </w:t>
      </w:r>
      <w:r w:rsidR="003B7548">
        <w:rPr>
          <w:i/>
          <w:sz w:val="24"/>
        </w:rPr>
        <w:t>Guitar Hero</w:t>
      </w:r>
      <w:r w:rsidR="003B7548">
        <w:rPr>
          <w:sz w:val="24"/>
        </w:rPr>
        <w:t xml:space="preserve">, avant de quitter Activision pour créer les </w:t>
      </w:r>
      <w:r w:rsidR="003B7548">
        <w:rPr>
          <w:i/>
          <w:sz w:val="24"/>
        </w:rPr>
        <w:t>Rock Band</w:t>
      </w:r>
      <w:r w:rsidR="003B7548">
        <w:rPr>
          <w:sz w:val="24"/>
        </w:rPr>
        <w:t xml:space="preserve">) se limite assez bien. Pas de </w:t>
      </w:r>
      <w:r w:rsidR="003B7548">
        <w:rPr>
          <w:i/>
          <w:sz w:val="24"/>
        </w:rPr>
        <w:t>Rock Band 3</w:t>
      </w:r>
      <w:r w:rsidR="003B7548">
        <w:rPr>
          <w:sz w:val="24"/>
        </w:rPr>
        <w:t xml:space="preserve"> cette année, il attendra l’année prochaine, un </w:t>
      </w:r>
      <w:r w:rsidR="003B7548">
        <w:rPr>
          <w:i/>
          <w:sz w:val="24"/>
        </w:rPr>
        <w:t>The Beatles : Rock Band</w:t>
      </w:r>
      <w:r w:rsidR="003B7548">
        <w:rPr>
          <w:sz w:val="24"/>
        </w:rPr>
        <w:t xml:space="preserve"> qui a le champ libre, pendant qu’on contente les fans avec le DLC. Une stratégie qui limite la casse plus qu’autre chose et qui permet au moins à la série </w:t>
      </w:r>
      <w:r w:rsidR="003B7548">
        <w:rPr>
          <w:i/>
          <w:sz w:val="24"/>
        </w:rPr>
        <w:t>Rock Band</w:t>
      </w:r>
      <w:r w:rsidR="003B7548">
        <w:rPr>
          <w:sz w:val="24"/>
        </w:rPr>
        <w:t xml:space="preserve"> de passer devant </w:t>
      </w:r>
      <w:r w:rsidR="003B7548">
        <w:rPr>
          <w:i/>
          <w:sz w:val="24"/>
        </w:rPr>
        <w:t>Guitar Hero</w:t>
      </w:r>
      <w:r w:rsidR="003B7548">
        <w:rPr>
          <w:sz w:val="24"/>
        </w:rPr>
        <w:t>.</w:t>
      </w:r>
    </w:p>
    <w:p w:rsidR="003B7548" w:rsidRDefault="003B7548" w:rsidP="003B7548">
      <w:pPr>
        <w:pStyle w:val="NoSpacing"/>
        <w:jc w:val="both"/>
        <w:rPr>
          <w:sz w:val="24"/>
        </w:rPr>
      </w:pPr>
    </w:p>
    <w:tbl>
      <w:tblPr>
        <w:tblStyle w:val="MediumShading1-Accent1"/>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2"/>
        <w:gridCol w:w="1803"/>
        <w:gridCol w:w="1751"/>
        <w:gridCol w:w="1900"/>
        <w:gridCol w:w="757"/>
        <w:gridCol w:w="1511"/>
      </w:tblGrid>
      <w:tr w:rsidR="003B7548" w:rsidRPr="00EB224B" w:rsidTr="003B7548">
        <w:trPr>
          <w:cnfStyle w:val="100000000000"/>
          <w:jc w:val="center"/>
        </w:trPr>
        <w:tc>
          <w:tcPr>
            <w:cnfStyle w:val="001000000000"/>
            <w:tcW w:w="1742" w:type="dxa"/>
            <w:tcBorders>
              <w:top w:val="none" w:sz="0" w:space="0" w:color="auto"/>
              <w:left w:val="none" w:sz="0" w:space="0" w:color="auto"/>
              <w:bottom w:val="none" w:sz="0" w:space="0" w:color="auto"/>
              <w:right w:val="none" w:sz="0" w:space="0" w:color="auto"/>
            </w:tcBorders>
          </w:tcPr>
          <w:p w:rsidR="003B7548" w:rsidRPr="00EB224B" w:rsidRDefault="003B7548" w:rsidP="00C85D8B">
            <w:pPr>
              <w:pStyle w:val="NoSpacing"/>
              <w:jc w:val="center"/>
              <w:rPr>
                <w:sz w:val="24"/>
                <w:lang w:val="en-US"/>
              </w:rPr>
            </w:pPr>
            <w:r w:rsidRPr="00EB224B">
              <w:rPr>
                <w:sz w:val="24"/>
                <w:lang w:val="en-US"/>
              </w:rPr>
              <w:t>Nom du jeu</w:t>
            </w:r>
          </w:p>
        </w:tc>
        <w:tc>
          <w:tcPr>
            <w:tcW w:w="1803" w:type="dxa"/>
            <w:tcBorders>
              <w:top w:val="none" w:sz="0" w:space="0" w:color="auto"/>
              <w:left w:val="none" w:sz="0" w:space="0" w:color="auto"/>
              <w:bottom w:val="none" w:sz="0" w:space="0" w:color="auto"/>
              <w:right w:val="none" w:sz="0" w:space="0" w:color="auto"/>
            </w:tcBorders>
          </w:tcPr>
          <w:p w:rsidR="003B7548" w:rsidRPr="00EB224B" w:rsidRDefault="003B7548" w:rsidP="00C85D8B">
            <w:pPr>
              <w:pStyle w:val="NoSpacing"/>
              <w:jc w:val="center"/>
              <w:cnfStyle w:val="100000000000"/>
              <w:rPr>
                <w:sz w:val="24"/>
                <w:lang w:val="en-US"/>
              </w:rPr>
            </w:pPr>
            <w:r w:rsidRPr="00EB224B">
              <w:rPr>
                <w:sz w:val="24"/>
                <w:lang w:val="en-US"/>
              </w:rPr>
              <w:t>X360</w:t>
            </w:r>
          </w:p>
        </w:tc>
        <w:tc>
          <w:tcPr>
            <w:tcW w:w="1751" w:type="dxa"/>
            <w:tcBorders>
              <w:top w:val="none" w:sz="0" w:space="0" w:color="auto"/>
              <w:left w:val="none" w:sz="0" w:space="0" w:color="auto"/>
              <w:bottom w:val="none" w:sz="0" w:space="0" w:color="auto"/>
              <w:right w:val="none" w:sz="0" w:space="0" w:color="auto"/>
            </w:tcBorders>
          </w:tcPr>
          <w:p w:rsidR="003B7548" w:rsidRPr="00EB224B" w:rsidRDefault="003B7548" w:rsidP="00C85D8B">
            <w:pPr>
              <w:pStyle w:val="NoSpacing"/>
              <w:jc w:val="center"/>
              <w:cnfStyle w:val="100000000000"/>
              <w:rPr>
                <w:sz w:val="24"/>
                <w:lang w:val="en-US"/>
              </w:rPr>
            </w:pPr>
            <w:r w:rsidRPr="00EB224B">
              <w:rPr>
                <w:sz w:val="24"/>
                <w:lang w:val="en-US"/>
              </w:rPr>
              <w:t>PS3</w:t>
            </w:r>
          </w:p>
        </w:tc>
        <w:tc>
          <w:tcPr>
            <w:tcW w:w="1900" w:type="dxa"/>
            <w:tcBorders>
              <w:top w:val="none" w:sz="0" w:space="0" w:color="auto"/>
              <w:left w:val="none" w:sz="0" w:space="0" w:color="auto"/>
              <w:bottom w:val="none" w:sz="0" w:space="0" w:color="auto"/>
              <w:right w:val="none" w:sz="0" w:space="0" w:color="auto"/>
            </w:tcBorders>
          </w:tcPr>
          <w:p w:rsidR="003B7548" w:rsidRPr="00EB224B" w:rsidRDefault="003B7548" w:rsidP="00C85D8B">
            <w:pPr>
              <w:pStyle w:val="NoSpacing"/>
              <w:jc w:val="center"/>
              <w:cnfStyle w:val="100000000000"/>
              <w:rPr>
                <w:sz w:val="24"/>
                <w:lang w:val="en-US"/>
              </w:rPr>
            </w:pPr>
            <w:r w:rsidRPr="00EB224B">
              <w:rPr>
                <w:sz w:val="24"/>
                <w:lang w:val="en-US"/>
              </w:rPr>
              <w:t>Wii</w:t>
            </w:r>
          </w:p>
        </w:tc>
        <w:tc>
          <w:tcPr>
            <w:tcW w:w="757" w:type="dxa"/>
            <w:tcBorders>
              <w:top w:val="none" w:sz="0" w:space="0" w:color="auto"/>
              <w:left w:val="none" w:sz="0" w:space="0" w:color="auto"/>
              <w:bottom w:val="none" w:sz="0" w:space="0" w:color="auto"/>
              <w:right w:val="none" w:sz="0" w:space="0" w:color="auto"/>
            </w:tcBorders>
          </w:tcPr>
          <w:p w:rsidR="003B7548" w:rsidRPr="00EB224B" w:rsidRDefault="003B7548" w:rsidP="00C85D8B">
            <w:pPr>
              <w:pStyle w:val="NoSpacing"/>
              <w:jc w:val="center"/>
              <w:cnfStyle w:val="100000000000"/>
              <w:rPr>
                <w:sz w:val="24"/>
                <w:lang w:val="en-US"/>
              </w:rPr>
            </w:pPr>
            <w:r w:rsidRPr="00EB224B">
              <w:rPr>
                <w:sz w:val="24"/>
                <w:lang w:val="en-US"/>
              </w:rPr>
              <w:t>PS2</w:t>
            </w:r>
          </w:p>
        </w:tc>
        <w:tc>
          <w:tcPr>
            <w:tcW w:w="1511" w:type="dxa"/>
            <w:tcBorders>
              <w:top w:val="none" w:sz="0" w:space="0" w:color="auto"/>
              <w:left w:val="none" w:sz="0" w:space="0" w:color="auto"/>
              <w:bottom w:val="none" w:sz="0" w:space="0" w:color="auto"/>
              <w:right w:val="none" w:sz="0" w:space="0" w:color="auto"/>
            </w:tcBorders>
          </w:tcPr>
          <w:p w:rsidR="003B7548" w:rsidRPr="00EB224B" w:rsidRDefault="003B7548" w:rsidP="00C85D8B">
            <w:pPr>
              <w:pStyle w:val="NoSpacing"/>
              <w:jc w:val="center"/>
              <w:cnfStyle w:val="100000000000"/>
              <w:rPr>
                <w:sz w:val="24"/>
                <w:lang w:val="en-US"/>
              </w:rPr>
            </w:pPr>
            <w:r w:rsidRPr="00EB224B">
              <w:rPr>
                <w:sz w:val="24"/>
                <w:lang w:val="en-US"/>
              </w:rPr>
              <w:t>Total</w:t>
            </w:r>
          </w:p>
        </w:tc>
      </w:tr>
      <w:tr w:rsidR="003B7548" w:rsidRPr="00EB224B" w:rsidTr="003B7548">
        <w:trPr>
          <w:cnfStyle w:val="000000100000"/>
          <w:jc w:val="center"/>
        </w:trPr>
        <w:tc>
          <w:tcPr>
            <w:cnfStyle w:val="001000000000"/>
            <w:tcW w:w="1742" w:type="dxa"/>
            <w:tcBorders>
              <w:right w:val="none" w:sz="0" w:space="0" w:color="auto"/>
            </w:tcBorders>
          </w:tcPr>
          <w:p w:rsidR="003B7548" w:rsidRPr="00EB224B" w:rsidRDefault="003B7548" w:rsidP="00416774">
            <w:pPr>
              <w:pStyle w:val="NoSpacing"/>
              <w:jc w:val="center"/>
              <w:rPr>
                <w:sz w:val="24"/>
                <w:lang w:val="en-US"/>
              </w:rPr>
            </w:pPr>
            <w:r>
              <w:rPr>
                <w:sz w:val="24"/>
                <w:lang w:val="en-US"/>
              </w:rPr>
              <w:t>The Beatles</w:t>
            </w:r>
            <w:r w:rsidRPr="00EB224B">
              <w:rPr>
                <w:sz w:val="24"/>
                <w:lang w:val="en-US"/>
              </w:rPr>
              <w:t xml:space="preserve"> RB</w:t>
            </w:r>
          </w:p>
        </w:tc>
        <w:tc>
          <w:tcPr>
            <w:tcW w:w="1803" w:type="dxa"/>
            <w:tcBorders>
              <w:left w:val="none" w:sz="0" w:space="0" w:color="auto"/>
              <w:right w:val="none" w:sz="0" w:space="0" w:color="auto"/>
            </w:tcBorders>
          </w:tcPr>
          <w:p w:rsidR="003B7548" w:rsidRPr="00EB224B" w:rsidRDefault="003B7548" w:rsidP="00C85D8B">
            <w:pPr>
              <w:pStyle w:val="NoSpacing"/>
              <w:jc w:val="center"/>
              <w:cnfStyle w:val="000000100000"/>
              <w:rPr>
                <w:sz w:val="24"/>
                <w:lang w:val="en-US"/>
              </w:rPr>
            </w:pPr>
            <w:r w:rsidRPr="00EB224B">
              <w:rPr>
                <w:sz w:val="24"/>
                <w:lang w:val="en-US"/>
              </w:rPr>
              <w:t>254 000 (43 %)</w:t>
            </w:r>
          </w:p>
        </w:tc>
        <w:tc>
          <w:tcPr>
            <w:tcW w:w="1751" w:type="dxa"/>
            <w:tcBorders>
              <w:left w:val="none" w:sz="0" w:space="0" w:color="auto"/>
              <w:right w:val="none" w:sz="0" w:space="0" w:color="auto"/>
            </w:tcBorders>
          </w:tcPr>
          <w:p w:rsidR="003B7548" w:rsidRPr="00EB224B" w:rsidRDefault="003B7548" w:rsidP="00C85D8B">
            <w:pPr>
              <w:pStyle w:val="NoSpacing"/>
              <w:jc w:val="center"/>
              <w:cnfStyle w:val="000000100000"/>
              <w:rPr>
                <w:sz w:val="24"/>
                <w:lang w:val="en-US"/>
              </w:rPr>
            </w:pPr>
            <w:r w:rsidRPr="00EB224B">
              <w:rPr>
                <w:sz w:val="24"/>
                <w:lang w:val="en-US"/>
              </w:rPr>
              <w:t>132 000 (22 %)</w:t>
            </w:r>
          </w:p>
        </w:tc>
        <w:tc>
          <w:tcPr>
            <w:tcW w:w="1900" w:type="dxa"/>
            <w:tcBorders>
              <w:left w:val="none" w:sz="0" w:space="0" w:color="auto"/>
              <w:right w:val="none" w:sz="0" w:space="0" w:color="auto"/>
            </w:tcBorders>
          </w:tcPr>
          <w:p w:rsidR="003B7548" w:rsidRPr="00EB224B" w:rsidRDefault="003B7548" w:rsidP="00C85D8B">
            <w:pPr>
              <w:pStyle w:val="NoSpacing"/>
              <w:jc w:val="center"/>
              <w:cnfStyle w:val="000000100000"/>
              <w:rPr>
                <w:sz w:val="24"/>
                <w:lang w:val="en-US"/>
              </w:rPr>
            </w:pPr>
            <w:r w:rsidRPr="00EB224B">
              <w:rPr>
                <w:sz w:val="24"/>
                <w:lang w:val="en-US"/>
              </w:rPr>
              <w:t>209 000 (35 %)</w:t>
            </w:r>
          </w:p>
        </w:tc>
        <w:tc>
          <w:tcPr>
            <w:tcW w:w="757" w:type="dxa"/>
            <w:tcBorders>
              <w:left w:val="none" w:sz="0" w:space="0" w:color="auto"/>
              <w:right w:val="none" w:sz="0" w:space="0" w:color="auto"/>
            </w:tcBorders>
          </w:tcPr>
          <w:p w:rsidR="003B7548" w:rsidRPr="00EB224B" w:rsidRDefault="003B7548" w:rsidP="00C85D8B">
            <w:pPr>
              <w:pStyle w:val="NoSpacing"/>
              <w:jc w:val="center"/>
              <w:cnfStyle w:val="000000100000"/>
              <w:rPr>
                <w:sz w:val="24"/>
                <w:lang w:val="en-US"/>
              </w:rPr>
            </w:pPr>
            <w:r w:rsidRPr="00EB224B">
              <w:rPr>
                <w:sz w:val="24"/>
                <w:lang w:val="en-US"/>
              </w:rPr>
              <w:t>--</w:t>
            </w:r>
          </w:p>
        </w:tc>
        <w:tc>
          <w:tcPr>
            <w:tcW w:w="1511" w:type="dxa"/>
            <w:tcBorders>
              <w:left w:val="none" w:sz="0" w:space="0" w:color="auto"/>
            </w:tcBorders>
          </w:tcPr>
          <w:p w:rsidR="003B7548" w:rsidRPr="00EB224B" w:rsidRDefault="003B7548" w:rsidP="00C85D8B">
            <w:pPr>
              <w:pStyle w:val="NoSpacing"/>
              <w:jc w:val="center"/>
              <w:cnfStyle w:val="000000100000"/>
              <w:rPr>
                <w:sz w:val="24"/>
                <w:lang w:val="en-US"/>
              </w:rPr>
            </w:pPr>
            <w:r w:rsidRPr="00EB224B">
              <w:rPr>
                <w:sz w:val="24"/>
                <w:lang w:val="en-US"/>
              </w:rPr>
              <w:t>595 000</w:t>
            </w:r>
          </w:p>
        </w:tc>
      </w:tr>
      <w:tr w:rsidR="003B7548" w:rsidRPr="00EB224B" w:rsidTr="003B7548">
        <w:trPr>
          <w:cnfStyle w:val="000000010000"/>
          <w:jc w:val="center"/>
        </w:trPr>
        <w:tc>
          <w:tcPr>
            <w:cnfStyle w:val="001000000000"/>
            <w:tcW w:w="1742" w:type="dxa"/>
            <w:tcBorders>
              <w:right w:val="none" w:sz="0" w:space="0" w:color="auto"/>
            </w:tcBorders>
          </w:tcPr>
          <w:p w:rsidR="003B7548" w:rsidRPr="00EB224B" w:rsidRDefault="003B7548" w:rsidP="00416774">
            <w:pPr>
              <w:pStyle w:val="NoSpacing"/>
              <w:jc w:val="center"/>
              <w:rPr>
                <w:sz w:val="24"/>
                <w:lang w:val="en-US"/>
              </w:rPr>
            </w:pPr>
            <w:r w:rsidRPr="00EB224B">
              <w:rPr>
                <w:sz w:val="24"/>
                <w:lang w:val="en-US"/>
              </w:rPr>
              <w:t>Guitar Hero 5</w:t>
            </w:r>
          </w:p>
        </w:tc>
        <w:tc>
          <w:tcPr>
            <w:tcW w:w="1803" w:type="dxa"/>
            <w:tcBorders>
              <w:left w:val="none" w:sz="0" w:space="0" w:color="auto"/>
              <w:right w:val="none" w:sz="0" w:space="0" w:color="auto"/>
            </w:tcBorders>
          </w:tcPr>
          <w:p w:rsidR="003B7548" w:rsidRPr="00EB224B" w:rsidRDefault="003B7548" w:rsidP="00C85D8B">
            <w:pPr>
              <w:pStyle w:val="NoSpacing"/>
              <w:jc w:val="center"/>
              <w:cnfStyle w:val="000000010000"/>
              <w:rPr>
                <w:sz w:val="24"/>
                <w:lang w:val="en-US"/>
              </w:rPr>
            </w:pPr>
            <w:r w:rsidRPr="00EB224B">
              <w:rPr>
                <w:sz w:val="24"/>
                <w:lang w:val="en-US"/>
              </w:rPr>
              <w:t>211 000 (42 %)</w:t>
            </w:r>
          </w:p>
        </w:tc>
        <w:tc>
          <w:tcPr>
            <w:tcW w:w="1751" w:type="dxa"/>
            <w:tcBorders>
              <w:left w:val="none" w:sz="0" w:space="0" w:color="auto"/>
              <w:right w:val="none" w:sz="0" w:space="0" w:color="auto"/>
            </w:tcBorders>
          </w:tcPr>
          <w:p w:rsidR="003B7548" w:rsidRPr="00EB224B" w:rsidRDefault="003B7548" w:rsidP="00C85D8B">
            <w:pPr>
              <w:pStyle w:val="NoSpacing"/>
              <w:jc w:val="center"/>
              <w:cnfStyle w:val="000000010000"/>
              <w:rPr>
                <w:sz w:val="24"/>
                <w:lang w:val="en-US"/>
              </w:rPr>
            </w:pPr>
            <w:r w:rsidRPr="00EB224B">
              <w:rPr>
                <w:sz w:val="24"/>
                <w:lang w:val="en-US"/>
              </w:rPr>
              <w:t>106 000 (21 %)</w:t>
            </w:r>
          </w:p>
        </w:tc>
        <w:tc>
          <w:tcPr>
            <w:tcW w:w="2657" w:type="dxa"/>
            <w:gridSpan w:val="2"/>
            <w:tcBorders>
              <w:left w:val="none" w:sz="0" w:space="0" w:color="auto"/>
              <w:right w:val="none" w:sz="0" w:space="0" w:color="auto"/>
            </w:tcBorders>
          </w:tcPr>
          <w:p w:rsidR="003B7548" w:rsidRPr="00EB224B" w:rsidRDefault="003B7548" w:rsidP="00C85D8B">
            <w:pPr>
              <w:pStyle w:val="NoSpacing"/>
              <w:jc w:val="center"/>
              <w:cnfStyle w:val="000000010000"/>
              <w:rPr>
                <w:sz w:val="24"/>
                <w:lang w:val="en-US"/>
              </w:rPr>
            </w:pPr>
            <w:r w:rsidRPr="00EB224B">
              <w:rPr>
                <w:sz w:val="24"/>
                <w:lang w:val="en-US"/>
              </w:rPr>
              <w:t>182 000 (37 %)</w:t>
            </w:r>
          </w:p>
        </w:tc>
        <w:tc>
          <w:tcPr>
            <w:tcW w:w="1511" w:type="dxa"/>
            <w:tcBorders>
              <w:left w:val="none" w:sz="0" w:space="0" w:color="auto"/>
            </w:tcBorders>
          </w:tcPr>
          <w:p w:rsidR="003B7548" w:rsidRPr="00EB224B" w:rsidRDefault="003B7548" w:rsidP="00C85D8B">
            <w:pPr>
              <w:pStyle w:val="NoSpacing"/>
              <w:jc w:val="center"/>
              <w:cnfStyle w:val="000000010000"/>
              <w:rPr>
                <w:sz w:val="24"/>
                <w:lang w:val="en-US"/>
              </w:rPr>
            </w:pPr>
            <w:r w:rsidRPr="00EB224B">
              <w:rPr>
                <w:sz w:val="24"/>
                <w:lang w:val="en-US"/>
              </w:rPr>
              <w:t>499 000</w:t>
            </w:r>
          </w:p>
        </w:tc>
      </w:tr>
    </w:tbl>
    <w:p w:rsidR="003B7548" w:rsidRDefault="003B7548" w:rsidP="003B7548">
      <w:pPr>
        <w:pStyle w:val="NoSpacing"/>
        <w:jc w:val="both"/>
        <w:rPr>
          <w:sz w:val="24"/>
        </w:rPr>
      </w:pPr>
    </w:p>
    <w:p w:rsidR="003B7548" w:rsidRDefault="00CA7DFF" w:rsidP="00CA7DFF">
      <w:pPr>
        <w:pStyle w:val="NoSpacing"/>
        <w:jc w:val="center"/>
        <w:rPr>
          <w:sz w:val="24"/>
        </w:rPr>
      </w:pPr>
      <w:r w:rsidRPr="00CA7DFF">
        <w:rPr>
          <w:sz w:val="24"/>
        </w:rPr>
        <w:drawing>
          <wp:inline distT="0" distB="0" distL="0" distR="0">
            <wp:extent cx="4572000" cy="2743200"/>
            <wp:effectExtent l="19050" t="0" r="1905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7DFF" w:rsidRDefault="00CA7DFF" w:rsidP="003B7548">
      <w:pPr>
        <w:pStyle w:val="NoSpacing"/>
        <w:jc w:val="both"/>
        <w:rPr>
          <w:sz w:val="24"/>
        </w:rPr>
      </w:pPr>
    </w:p>
    <w:p w:rsidR="00EA33A0" w:rsidRDefault="00CA7DFF" w:rsidP="003B7548">
      <w:pPr>
        <w:pStyle w:val="NoSpacing"/>
        <w:jc w:val="both"/>
        <w:rPr>
          <w:sz w:val="24"/>
        </w:rPr>
      </w:pPr>
      <w:r>
        <w:rPr>
          <w:sz w:val="24"/>
        </w:rPr>
        <w:t xml:space="preserve">Et il est important de souligner un fait important par rapport au graphique ci-dessus : la série des </w:t>
      </w:r>
      <w:r>
        <w:rPr>
          <w:i/>
          <w:sz w:val="24"/>
        </w:rPr>
        <w:t>Guitar Hero</w:t>
      </w:r>
      <w:r>
        <w:rPr>
          <w:sz w:val="24"/>
        </w:rPr>
        <w:t xml:space="preserve"> se démarque surtout par son endurance, à la manière des jeux Nintendo. Malgré son démarrage à moins de 40 000 exemplaires, le premier épisode </w:t>
      </w:r>
      <w:r w:rsidR="00EA33A0">
        <w:rPr>
          <w:sz w:val="24"/>
        </w:rPr>
        <w:t xml:space="preserve">a finalement approché le million, sa suite a largement dépassé les 3 millions en cumulant PS2 et Xbox 360, et le troisième est finalement devenu l’un des plus grands succès de l’histoire des USA, dépassant les 8 millions en comptabilisant tous les supports. Une tendance à l’endurance qui n’a plus prit depuis </w:t>
      </w:r>
      <w:r w:rsidR="00EA33A0">
        <w:rPr>
          <w:i/>
          <w:sz w:val="24"/>
        </w:rPr>
        <w:t>Guitar Hero 4</w:t>
      </w:r>
      <w:r w:rsidR="00EA33A0">
        <w:rPr>
          <w:sz w:val="24"/>
        </w:rPr>
        <w:t xml:space="preserve"> et qui</w:t>
      </w:r>
      <w:r>
        <w:rPr>
          <w:sz w:val="24"/>
        </w:rPr>
        <w:t xml:space="preserve"> </w:t>
      </w:r>
      <w:r w:rsidR="00EA33A0">
        <w:rPr>
          <w:sz w:val="24"/>
        </w:rPr>
        <w:t xml:space="preserve">semble mal partie pour </w:t>
      </w:r>
      <w:r w:rsidR="00EA33A0">
        <w:rPr>
          <w:i/>
          <w:sz w:val="24"/>
        </w:rPr>
        <w:t>GH5</w:t>
      </w:r>
      <w:r w:rsidR="00EA33A0">
        <w:rPr>
          <w:sz w:val="24"/>
        </w:rPr>
        <w:t> : son deuxième mois, octobre, s’est soldé par un score de seulement 80 000 exemplaires</w:t>
      </w:r>
      <w:r w:rsidR="000A698D">
        <w:rPr>
          <w:sz w:val="24"/>
        </w:rPr>
        <w:t xml:space="preserve"> en cumulant les différents supports, ce qui l’amène à un total de 580 000 exemplaires.</w:t>
      </w:r>
    </w:p>
    <w:p w:rsidR="000A698D" w:rsidRDefault="000A698D" w:rsidP="003B7548">
      <w:pPr>
        <w:pStyle w:val="NoSpacing"/>
        <w:jc w:val="both"/>
        <w:rPr>
          <w:sz w:val="24"/>
        </w:rPr>
      </w:pPr>
    </w:p>
    <w:tbl>
      <w:tblPr>
        <w:tblStyle w:val="MediumShading1-Accent1"/>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4"/>
        <w:gridCol w:w="1661"/>
        <w:gridCol w:w="1613"/>
        <w:gridCol w:w="1505"/>
        <w:gridCol w:w="1560"/>
        <w:gridCol w:w="1471"/>
      </w:tblGrid>
      <w:tr w:rsidR="00416774" w:rsidRPr="00EB224B" w:rsidTr="00416774">
        <w:trPr>
          <w:cnfStyle w:val="100000000000"/>
          <w:jc w:val="center"/>
        </w:trPr>
        <w:tc>
          <w:tcPr>
            <w:cnfStyle w:val="001000000000"/>
            <w:tcW w:w="1654"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rPr>
                <w:sz w:val="24"/>
                <w:lang w:val="en-US"/>
              </w:rPr>
            </w:pPr>
            <w:r w:rsidRPr="00EB224B">
              <w:rPr>
                <w:sz w:val="24"/>
                <w:lang w:val="en-US"/>
              </w:rPr>
              <w:lastRenderedPageBreak/>
              <w:t>Nom du jeu</w:t>
            </w:r>
          </w:p>
        </w:tc>
        <w:tc>
          <w:tcPr>
            <w:tcW w:w="1661"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X360</w:t>
            </w:r>
          </w:p>
        </w:tc>
        <w:tc>
          <w:tcPr>
            <w:tcW w:w="1613"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PS3</w:t>
            </w:r>
          </w:p>
        </w:tc>
        <w:tc>
          <w:tcPr>
            <w:tcW w:w="1505"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Wii</w:t>
            </w:r>
          </w:p>
        </w:tc>
        <w:tc>
          <w:tcPr>
            <w:tcW w:w="1560"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PS2</w:t>
            </w:r>
          </w:p>
        </w:tc>
        <w:tc>
          <w:tcPr>
            <w:tcW w:w="1471" w:type="dxa"/>
            <w:tcBorders>
              <w:top w:val="none" w:sz="0" w:space="0" w:color="auto"/>
              <w:left w:val="none" w:sz="0" w:space="0" w:color="auto"/>
              <w:bottom w:val="none" w:sz="0" w:space="0" w:color="auto"/>
              <w:right w:val="none" w:sz="0" w:space="0" w:color="auto"/>
            </w:tcBorders>
          </w:tcPr>
          <w:p w:rsidR="00416774" w:rsidRPr="00EB224B" w:rsidRDefault="00416774" w:rsidP="00C85D8B">
            <w:pPr>
              <w:pStyle w:val="NoSpacing"/>
              <w:jc w:val="center"/>
              <w:cnfStyle w:val="100000000000"/>
              <w:rPr>
                <w:sz w:val="24"/>
                <w:lang w:val="en-US"/>
              </w:rPr>
            </w:pPr>
            <w:r w:rsidRPr="00EB224B">
              <w:rPr>
                <w:sz w:val="24"/>
                <w:lang w:val="en-US"/>
              </w:rPr>
              <w:t>Total</w:t>
            </w:r>
          </w:p>
        </w:tc>
      </w:tr>
      <w:tr w:rsidR="00416774" w:rsidRPr="00EB224B" w:rsidTr="00416774">
        <w:trPr>
          <w:cnfStyle w:val="000000100000"/>
          <w:jc w:val="center"/>
        </w:trPr>
        <w:tc>
          <w:tcPr>
            <w:cnfStyle w:val="001000000000"/>
            <w:tcW w:w="1654" w:type="dxa"/>
            <w:tcBorders>
              <w:right w:val="none" w:sz="0" w:space="0" w:color="auto"/>
            </w:tcBorders>
          </w:tcPr>
          <w:p w:rsidR="00416774" w:rsidRPr="00EB224B" w:rsidRDefault="00416774" w:rsidP="00416774">
            <w:pPr>
              <w:pStyle w:val="NoSpacing"/>
              <w:jc w:val="center"/>
              <w:rPr>
                <w:sz w:val="24"/>
                <w:lang w:val="en-US"/>
              </w:rPr>
            </w:pPr>
            <w:r>
              <w:rPr>
                <w:sz w:val="24"/>
                <w:lang w:val="en-US"/>
              </w:rPr>
              <w:t>DJ Hero</w:t>
            </w:r>
          </w:p>
        </w:tc>
        <w:tc>
          <w:tcPr>
            <w:tcW w:w="1661" w:type="dxa"/>
            <w:tcBorders>
              <w:left w:val="none" w:sz="0" w:space="0" w:color="auto"/>
              <w:right w:val="none" w:sz="0" w:space="0" w:color="auto"/>
            </w:tcBorders>
          </w:tcPr>
          <w:p w:rsidR="00416774" w:rsidRPr="00EB224B" w:rsidRDefault="00416774" w:rsidP="00C85D8B">
            <w:pPr>
              <w:pStyle w:val="NoSpacing"/>
              <w:jc w:val="center"/>
              <w:cnfStyle w:val="000000100000"/>
              <w:rPr>
                <w:sz w:val="24"/>
                <w:lang w:val="en-US"/>
              </w:rPr>
            </w:pPr>
            <w:r>
              <w:rPr>
                <w:sz w:val="24"/>
                <w:lang w:val="en-US"/>
              </w:rPr>
              <w:t>62 000</w:t>
            </w:r>
          </w:p>
        </w:tc>
        <w:tc>
          <w:tcPr>
            <w:tcW w:w="1613" w:type="dxa"/>
            <w:tcBorders>
              <w:left w:val="none" w:sz="0" w:space="0" w:color="auto"/>
              <w:right w:val="none" w:sz="0" w:space="0" w:color="auto"/>
            </w:tcBorders>
          </w:tcPr>
          <w:p w:rsidR="00416774" w:rsidRPr="00EB224B" w:rsidRDefault="00416774" w:rsidP="00C85D8B">
            <w:pPr>
              <w:pStyle w:val="NoSpacing"/>
              <w:jc w:val="center"/>
              <w:cnfStyle w:val="000000100000"/>
              <w:rPr>
                <w:sz w:val="24"/>
                <w:lang w:val="en-US"/>
              </w:rPr>
            </w:pPr>
            <w:r>
              <w:rPr>
                <w:sz w:val="24"/>
                <w:lang w:val="en-US"/>
              </w:rPr>
              <w:t>39 000</w:t>
            </w:r>
          </w:p>
        </w:tc>
        <w:tc>
          <w:tcPr>
            <w:tcW w:w="1505" w:type="dxa"/>
            <w:tcBorders>
              <w:left w:val="none" w:sz="0" w:space="0" w:color="auto"/>
              <w:right w:val="none" w:sz="0" w:space="0" w:color="auto"/>
            </w:tcBorders>
          </w:tcPr>
          <w:p w:rsidR="00416774" w:rsidRPr="00EB224B" w:rsidRDefault="00416774" w:rsidP="00C85D8B">
            <w:pPr>
              <w:pStyle w:val="NoSpacing"/>
              <w:jc w:val="center"/>
              <w:cnfStyle w:val="000000100000"/>
              <w:rPr>
                <w:sz w:val="24"/>
                <w:lang w:val="en-US"/>
              </w:rPr>
            </w:pPr>
            <w:r>
              <w:rPr>
                <w:sz w:val="24"/>
                <w:lang w:val="en-US"/>
              </w:rPr>
              <w:t>19 000</w:t>
            </w:r>
          </w:p>
        </w:tc>
        <w:tc>
          <w:tcPr>
            <w:tcW w:w="1560" w:type="dxa"/>
            <w:tcBorders>
              <w:left w:val="none" w:sz="0" w:space="0" w:color="auto"/>
              <w:right w:val="none" w:sz="0" w:space="0" w:color="auto"/>
            </w:tcBorders>
          </w:tcPr>
          <w:p w:rsidR="00416774" w:rsidRPr="00EB224B" w:rsidRDefault="00416774" w:rsidP="00C85D8B">
            <w:pPr>
              <w:pStyle w:val="NoSpacing"/>
              <w:jc w:val="center"/>
              <w:cnfStyle w:val="000000100000"/>
              <w:rPr>
                <w:sz w:val="24"/>
                <w:lang w:val="en-US"/>
              </w:rPr>
            </w:pPr>
            <w:r>
              <w:rPr>
                <w:sz w:val="24"/>
                <w:lang w:val="en-US"/>
              </w:rPr>
              <w:t>3 300</w:t>
            </w:r>
          </w:p>
        </w:tc>
        <w:tc>
          <w:tcPr>
            <w:tcW w:w="1471" w:type="dxa"/>
            <w:tcBorders>
              <w:left w:val="none" w:sz="0" w:space="0" w:color="auto"/>
            </w:tcBorders>
          </w:tcPr>
          <w:p w:rsidR="00416774" w:rsidRPr="00EB224B" w:rsidRDefault="00416774" w:rsidP="00C85D8B">
            <w:pPr>
              <w:pStyle w:val="NoSpacing"/>
              <w:jc w:val="center"/>
              <w:cnfStyle w:val="000000100000"/>
              <w:rPr>
                <w:sz w:val="24"/>
                <w:lang w:val="en-US"/>
              </w:rPr>
            </w:pPr>
            <w:r>
              <w:rPr>
                <w:sz w:val="24"/>
                <w:lang w:val="en-US"/>
              </w:rPr>
              <w:t>123 000</w:t>
            </w:r>
          </w:p>
        </w:tc>
      </w:tr>
    </w:tbl>
    <w:p w:rsidR="00416774" w:rsidRDefault="00416774" w:rsidP="003B7548">
      <w:pPr>
        <w:pStyle w:val="NoSpacing"/>
        <w:jc w:val="both"/>
        <w:rPr>
          <w:sz w:val="24"/>
        </w:rPr>
      </w:pPr>
    </w:p>
    <w:p w:rsidR="000A698D" w:rsidRDefault="000A698D" w:rsidP="003B7548">
      <w:pPr>
        <w:pStyle w:val="NoSpacing"/>
        <w:jc w:val="both"/>
        <w:rPr>
          <w:sz w:val="24"/>
        </w:rPr>
      </w:pPr>
      <w:r>
        <w:rPr>
          <w:sz w:val="24"/>
        </w:rPr>
        <w:t xml:space="preserve">Mais Activision avait cette année un autre grand projet qu’est </w:t>
      </w:r>
      <w:r>
        <w:rPr>
          <w:i/>
          <w:sz w:val="24"/>
        </w:rPr>
        <w:t>DJ Hero</w:t>
      </w:r>
      <w:r>
        <w:rPr>
          <w:sz w:val="24"/>
        </w:rPr>
        <w:t xml:space="preserve">, qui a le mérite de proposer un concept nouveau et bien exploité. Et, c’est un échec. Alors qu’Activision tenait un concept qui aurait pu reproduire le magnifique destin </w:t>
      </w:r>
      <w:r>
        <w:rPr>
          <w:i/>
          <w:sz w:val="24"/>
        </w:rPr>
        <w:t>Guitar Hero</w:t>
      </w:r>
      <w:r>
        <w:rPr>
          <w:sz w:val="24"/>
        </w:rPr>
        <w:t xml:space="preserve">, l’éditeur, devenu trop arrogant pour croire aux petits projets prometteurs et basant sa politique sur le blockbuster à tout prix, à choisi en quelque sorte de faire dès le premier </w:t>
      </w:r>
      <w:r>
        <w:rPr>
          <w:i/>
          <w:sz w:val="24"/>
        </w:rPr>
        <w:t>DJ Hero</w:t>
      </w:r>
      <w:r>
        <w:rPr>
          <w:sz w:val="24"/>
        </w:rPr>
        <w:t xml:space="preserve"> l’équivalant de </w:t>
      </w:r>
      <w:r>
        <w:rPr>
          <w:i/>
          <w:sz w:val="24"/>
        </w:rPr>
        <w:t>Guitar Hero III</w:t>
      </w:r>
      <w:r>
        <w:rPr>
          <w:sz w:val="24"/>
        </w:rPr>
        <w:t> : des millions dépensés pour assurer une play-list incroyablement variée et longue, la présence de stars mondiales que sont les Daft Punk dans le jeu, une campagne marketing énorme et un prix exorbitant. Avec 123 000 exemplaires vendus en cumulant tous les supports, il est évident</w:t>
      </w:r>
      <w:r w:rsidR="00416774">
        <w:rPr>
          <w:sz w:val="24"/>
        </w:rPr>
        <w:t xml:space="preserve"> que le jeu est loin, très loin de ses objectifs. Mais ce n’est pas comme ça que le marché fonctionne, mon cher Kottick. On n’impose pas une nouvelle série aussi facilement, on la fait démarrer doucement, sans ambition démesurée tant qu’on n’est pas certain de son succès, en jouant sur le bouche à oreille plus que la publicité de base. C’est ce qu’avait brillamment fait le premier </w:t>
      </w:r>
      <w:r w:rsidR="00416774">
        <w:rPr>
          <w:i/>
          <w:sz w:val="24"/>
        </w:rPr>
        <w:t>Guitar Hero</w:t>
      </w:r>
      <w:r w:rsidR="00416774">
        <w:rPr>
          <w:sz w:val="24"/>
        </w:rPr>
        <w:t xml:space="preserve">, et si finalement </w:t>
      </w:r>
      <w:r w:rsidR="00416774">
        <w:rPr>
          <w:i/>
          <w:sz w:val="24"/>
        </w:rPr>
        <w:t>DJ Hero</w:t>
      </w:r>
      <w:r w:rsidR="00416774">
        <w:rPr>
          <w:sz w:val="24"/>
        </w:rPr>
        <w:t xml:space="preserve"> démarre mieux, il est certain que Activision devra attendre bien plus longtemps avant de le rentabiliser.</w:t>
      </w:r>
    </w:p>
    <w:p w:rsidR="00CF3DFF" w:rsidRDefault="00CF3DFF" w:rsidP="003B7548">
      <w:pPr>
        <w:pStyle w:val="NoSpacing"/>
        <w:jc w:val="both"/>
        <w:rPr>
          <w:sz w:val="24"/>
        </w:rPr>
      </w:pPr>
    </w:p>
    <w:p w:rsidR="00CF3DFF" w:rsidRDefault="00CF3DFF" w:rsidP="00CF3DFF">
      <w:pPr>
        <w:pStyle w:val="NoSpacing"/>
        <w:jc w:val="center"/>
        <w:rPr>
          <w:sz w:val="24"/>
        </w:rPr>
      </w:pPr>
      <w:r>
        <w:rPr>
          <w:noProof/>
          <w:sz w:val="24"/>
          <w:lang w:eastAsia="fr-FR"/>
        </w:rPr>
        <w:drawing>
          <wp:inline distT="0" distB="0" distL="0" distR="0">
            <wp:extent cx="4975357" cy="3781425"/>
            <wp:effectExtent l="19050" t="0" r="0" b="0"/>
            <wp:docPr id="10" name="Picture 9" descr="compteus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usa03.png"/>
                    <pic:cNvPicPr/>
                  </pic:nvPicPr>
                  <pic:blipFill>
                    <a:blip r:embed="rId12" cstate="print"/>
                    <a:stretch>
                      <a:fillRect/>
                    </a:stretch>
                  </pic:blipFill>
                  <pic:spPr>
                    <a:xfrm>
                      <a:off x="0" y="0"/>
                      <a:ext cx="4982543" cy="3786886"/>
                    </a:xfrm>
                    <a:prstGeom prst="rect">
                      <a:avLst/>
                    </a:prstGeom>
                  </pic:spPr>
                </pic:pic>
              </a:graphicData>
            </a:graphic>
          </wp:inline>
        </w:drawing>
      </w:r>
    </w:p>
    <w:p w:rsidR="00CF3DFF" w:rsidRDefault="00CF3DFF" w:rsidP="00CF3DFF">
      <w:pPr>
        <w:pStyle w:val="NoSpacing"/>
        <w:jc w:val="both"/>
        <w:rPr>
          <w:sz w:val="24"/>
        </w:rPr>
      </w:pPr>
    </w:p>
    <w:p w:rsidR="00CF3DFF" w:rsidRDefault="00CF3DFF" w:rsidP="00CF3DFF">
      <w:pPr>
        <w:pStyle w:val="NoSpacing"/>
        <w:jc w:val="both"/>
        <w:rPr>
          <w:sz w:val="24"/>
        </w:rPr>
      </w:pPr>
      <w:r>
        <w:rPr>
          <w:sz w:val="24"/>
        </w:rPr>
        <w:t xml:space="preserve">Pour en revenir à </w:t>
      </w:r>
      <w:r>
        <w:rPr>
          <w:i/>
          <w:sz w:val="24"/>
        </w:rPr>
        <w:t>Rock Band</w:t>
      </w:r>
      <w:r>
        <w:rPr>
          <w:sz w:val="24"/>
        </w:rPr>
        <w:t xml:space="preserve">, on notera tout de même que si cette version à la gloire des Beatles constitue le meilleur démarrage de la série, la performance est à tempérer dans la mesure où </w:t>
      </w:r>
      <w:r>
        <w:rPr>
          <w:i/>
          <w:sz w:val="24"/>
        </w:rPr>
        <w:t>Rock Band 2</w:t>
      </w:r>
      <w:r>
        <w:rPr>
          <w:sz w:val="24"/>
        </w:rPr>
        <w:t xml:space="preserve"> n’était disponible que sur 360 à son lancement, et le premier que sur PS3 et 360, les portages étant apparus tardivement. De fait, là encore, </w:t>
      </w:r>
      <w:r>
        <w:rPr>
          <w:i/>
          <w:sz w:val="24"/>
        </w:rPr>
        <w:t>Rock Band</w:t>
      </w:r>
      <w:r>
        <w:rPr>
          <w:sz w:val="24"/>
        </w:rPr>
        <w:t xml:space="preserve"> et en particulier le premier opus, fut un succès sur la longueur, ce que ne sera probablement pas, ou en tout cas moins, ce </w:t>
      </w:r>
      <w:r>
        <w:rPr>
          <w:i/>
          <w:sz w:val="24"/>
        </w:rPr>
        <w:t>The Beatles : Rock Band</w:t>
      </w:r>
      <w:r>
        <w:rPr>
          <w:sz w:val="24"/>
        </w:rPr>
        <w:t xml:space="preserve"> qui a en plus coûté cher en royalties </w:t>
      </w:r>
      <w:r w:rsidR="00D21357">
        <w:rPr>
          <w:sz w:val="24"/>
        </w:rPr>
        <w:t>(les Beatles, ce n’est pas rien, surtout quand on signe l’exclusivité)</w:t>
      </w:r>
      <w:r>
        <w:rPr>
          <w:sz w:val="24"/>
        </w:rPr>
        <w:t>.</w:t>
      </w:r>
      <w:r w:rsidR="00D21357">
        <w:rPr>
          <w:sz w:val="24"/>
        </w:rPr>
        <w:t xml:space="preserve"> Harmonix se concentre désormais sur l’inévitable </w:t>
      </w:r>
      <w:r w:rsidR="00D21357">
        <w:rPr>
          <w:i/>
          <w:sz w:val="24"/>
        </w:rPr>
        <w:t>Rock Band 3</w:t>
      </w:r>
      <w:r w:rsidR="00D21357">
        <w:rPr>
          <w:sz w:val="24"/>
        </w:rPr>
        <w:t>, et promet d’apporter de véritables innovations.</w:t>
      </w:r>
    </w:p>
    <w:p w:rsidR="00D21357" w:rsidRPr="004044D1" w:rsidRDefault="00D21357" w:rsidP="00D21357">
      <w:pPr>
        <w:pStyle w:val="NoSpacing"/>
        <w:jc w:val="center"/>
        <w:rPr>
          <w:b/>
          <w:sz w:val="32"/>
          <w:u w:val="single"/>
        </w:rPr>
      </w:pPr>
      <w:r>
        <w:rPr>
          <w:b/>
          <w:sz w:val="32"/>
          <w:u w:val="single"/>
        </w:rPr>
        <w:lastRenderedPageBreak/>
        <w:t>Répartition des ventes des jeux multi</w:t>
      </w:r>
    </w:p>
    <w:p w:rsidR="00D21357" w:rsidRPr="00762098" w:rsidRDefault="00D21357" w:rsidP="00D21357">
      <w:pPr>
        <w:pStyle w:val="NoSpacing"/>
        <w:rPr>
          <w:sz w:val="10"/>
        </w:rPr>
      </w:pPr>
    </w:p>
    <w:p w:rsidR="00D21357" w:rsidRDefault="005942EA" w:rsidP="00CF3DFF">
      <w:pPr>
        <w:pStyle w:val="NoSpacing"/>
        <w:jc w:val="both"/>
        <w:rPr>
          <w:sz w:val="24"/>
        </w:rPr>
      </w:pPr>
      <w:r>
        <w:rPr>
          <w:sz w:val="24"/>
        </w:rPr>
        <w:t>Au-delà des exclusivités, il y a</w:t>
      </w:r>
      <w:r w:rsidR="00D21357">
        <w:rPr>
          <w:sz w:val="24"/>
        </w:rPr>
        <w:t xml:space="preserve"> cette guerre de l’ombre qui se joue essentiellement entre Sony et Microsoft pour disposer de la machine sur laquelle se vende le mieux les jeux multi. A ce petit jeu, la Xbox 360 hériterait presque du statut de la PS2 d’autrefois, devenant le support privilégié pour un grand nombre de titre. On atteint les 75 % pour les jeux les plus classiques comme </w:t>
      </w:r>
      <w:r w:rsidR="00D21357">
        <w:rPr>
          <w:i/>
          <w:sz w:val="24"/>
        </w:rPr>
        <w:t>Prototype</w:t>
      </w:r>
      <w:r w:rsidR="00D21357">
        <w:rPr>
          <w:sz w:val="24"/>
        </w:rPr>
        <w:t xml:space="preserve"> ou </w:t>
      </w:r>
      <w:r w:rsidR="00D21357">
        <w:rPr>
          <w:i/>
          <w:sz w:val="24"/>
        </w:rPr>
        <w:t>Red Faction : Guerrilla</w:t>
      </w:r>
      <w:r w:rsidR="00D21357">
        <w:rPr>
          <w:sz w:val="24"/>
        </w:rPr>
        <w:t xml:space="preserve">, le genre de jeux typique qui compose le marché américain. Mais il y a des genres qui se révèlent plus apte à fonctionner sur la console de Sony, malgré l’écart entre les ventes de console. Ainsi, il est un phénomène que l’on a remarqué depuis un moment, les jeux de combat ont un grand succès sur PS3. </w:t>
      </w:r>
      <w:r w:rsidR="00D21357">
        <w:rPr>
          <w:i/>
          <w:sz w:val="24"/>
        </w:rPr>
        <w:t>SoulCalibur IV</w:t>
      </w:r>
      <w:r w:rsidR="00D21357">
        <w:rPr>
          <w:sz w:val="24"/>
        </w:rPr>
        <w:t xml:space="preserve"> ou encore le dernier </w:t>
      </w:r>
      <w:r w:rsidR="00D21357">
        <w:rPr>
          <w:i/>
          <w:sz w:val="24"/>
        </w:rPr>
        <w:t>Mortal Kombat</w:t>
      </w:r>
      <w:r w:rsidR="00D21357">
        <w:rPr>
          <w:sz w:val="24"/>
        </w:rPr>
        <w:t xml:space="preserve"> ainsi que plus récemment </w:t>
      </w:r>
      <w:r w:rsidR="00D21357">
        <w:rPr>
          <w:i/>
          <w:sz w:val="24"/>
        </w:rPr>
        <w:t>Street Fighter IV</w:t>
      </w:r>
      <w:r w:rsidR="00D21357">
        <w:rPr>
          <w:sz w:val="24"/>
        </w:rPr>
        <w:t xml:space="preserve"> ont des ventes équivalentes sur PS3 et 360. Dans une moindre mesure le phénomène a pu être constaté avec </w:t>
      </w:r>
      <w:r w:rsidR="00D21357">
        <w:rPr>
          <w:i/>
          <w:sz w:val="24"/>
        </w:rPr>
        <w:t>Fight Night 4</w:t>
      </w:r>
      <w:r w:rsidR="00D21357">
        <w:rPr>
          <w:sz w:val="24"/>
        </w:rPr>
        <w:t xml:space="preserve"> également (55 % / 45 %, à la faveur de la 360), ou encore pour </w:t>
      </w:r>
      <w:r w:rsidR="00D21357">
        <w:rPr>
          <w:i/>
          <w:sz w:val="24"/>
        </w:rPr>
        <w:t>BlazBlue</w:t>
      </w:r>
      <w:r w:rsidR="00D21357">
        <w:rPr>
          <w:sz w:val="24"/>
        </w:rPr>
        <w:t>, le jeu de combat 2D qui a démarré à 65 000 exemplaires, avec plus de 55 % des ventes sur PS3. Encore plus récemment, il y aussi le cas d</w:t>
      </w:r>
      <w:r w:rsidR="0009266C">
        <w:rPr>
          <w:sz w:val="24"/>
        </w:rPr>
        <w:t xml:space="preserve">u dernier </w:t>
      </w:r>
      <w:r w:rsidR="0009266C">
        <w:rPr>
          <w:i/>
          <w:sz w:val="24"/>
        </w:rPr>
        <w:t>Batman</w:t>
      </w:r>
      <w:r w:rsidR="0009266C">
        <w:rPr>
          <w:sz w:val="24"/>
        </w:rPr>
        <w:t>, qui au passage a fait un excellent démarrage en août dernier avec presque 600 000 exemplaires vendus, dont 290 000 exemplaires sur PS3. Récemment, on a apprit que le jeu avait dépassé le million d’exemplaires vendus aux USA, dont plus de la moitié sur PS3. Il est probable que le fait que l’on puisse incarner le Joker en guise de bonus gratuit exclusif sur PS3 ait joué dans cette petite victoire pour Sony.</w:t>
      </w:r>
    </w:p>
    <w:p w:rsidR="0009266C" w:rsidRPr="00762098" w:rsidRDefault="0009266C" w:rsidP="00CF3DFF">
      <w:pPr>
        <w:pStyle w:val="NoSpacing"/>
        <w:jc w:val="both"/>
      </w:pPr>
    </w:p>
    <w:p w:rsidR="0009266C" w:rsidRDefault="0009266C" w:rsidP="00CF3DFF">
      <w:pPr>
        <w:pStyle w:val="NoSpacing"/>
        <w:jc w:val="both"/>
        <w:rPr>
          <w:sz w:val="24"/>
        </w:rPr>
      </w:pPr>
      <w:r w:rsidRPr="0009266C">
        <w:rPr>
          <w:sz w:val="24"/>
        </w:rPr>
        <w:drawing>
          <wp:inline distT="0" distB="0" distL="0" distR="0">
            <wp:extent cx="5760720" cy="2808091"/>
            <wp:effectExtent l="19050" t="0" r="11430" b="0"/>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2098" w:rsidRDefault="00762098" w:rsidP="00CF3DFF">
      <w:pPr>
        <w:pStyle w:val="NoSpacing"/>
        <w:jc w:val="both"/>
        <w:rPr>
          <w:sz w:val="24"/>
        </w:rPr>
      </w:pPr>
    </w:p>
    <w:p w:rsidR="00762098" w:rsidRDefault="00762098" w:rsidP="00CF3DFF">
      <w:pPr>
        <w:pStyle w:val="NoSpacing"/>
        <w:jc w:val="both"/>
        <w:rPr>
          <w:sz w:val="24"/>
        </w:rPr>
      </w:pPr>
      <w:r>
        <w:rPr>
          <w:sz w:val="24"/>
        </w:rPr>
        <w:t>On souligne également la présence de la Wii dans cette bataille. Celle-ci, malgré son succès, ne gagne généralement que dans trois conditions : lorsque le jeu s’avère réellement meilleur avec la Wiimote (</w:t>
      </w:r>
      <w:r>
        <w:rPr>
          <w:i/>
          <w:sz w:val="24"/>
        </w:rPr>
        <w:t>Virtua Tennis</w:t>
      </w:r>
      <w:r>
        <w:rPr>
          <w:sz w:val="24"/>
        </w:rPr>
        <w:t xml:space="preserve">, </w:t>
      </w:r>
      <w:r>
        <w:rPr>
          <w:i/>
          <w:sz w:val="24"/>
        </w:rPr>
        <w:t>Tiger Woods</w:t>
      </w:r>
      <w:r>
        <w:rPr>
          <w:sz w:val="24"/>
        </w:rPr>
        <w:t xml:space="preserve">), lorsqu’il s’agit d’un jeu qui a du succès auprès des casuals (les </w:t>
      </w:r>
      <w:r>
        <w:rPr>
          <w:i/>
          <w:sz w:val="24"/>
        </w:rPr>
        <w:t>Guitar Hero</w:t>
      </w:r>
      <w:r>
        <w:rPr>
          <w:sz w:val="24"/>
        </w:rPr>
        <w:t xml:space="preserve"> et </w:t>
      </w:r>
      <w:r>
        <w:rPr>
          <w:i/>
          <w:sz w:val="24"/>
        </w:rPr>
        <w:t>Rock Band</w:t>
      </w:r>
      <w:r>
        <w:rPr>
          <w:sz w:val="24"/>
        </w:rPr>
        <w:t>), ou encore lorsqu’il concerne généralement un public peu âgé (</w:t>
      </w:r>
      <w:r>
        <w:rPr>
          <w:i/>
          <w:sz w:val="24"/>
        </w:rPr>
        <w:t>Harry Potter</w:t>
      </w:r>
      <w:r>
        <w:rPr>
          <w:sz w:val="24"/>
        </w:rPr>
        <w:t xml:space="preserve">, </w:t>
      </w:r>
      <w:r>
        <w:rPr>
          <w:i/>
          <w:sz w:val="24"/>
        </w:rPr>
        <w:t>Lego Star Wars</w:t>
      </w:r>
      <w:r>
        <w:rPr>
          <w:sz w:val="24"/>
        </w:rPr>
        <w:t xml:space="preserve">), une constatation finalement très logique. Aussi, cela réduit forcément pas mal le nombre de jeux potentiels, puisque les jeux répondant à ces conditions et qui soient de qualité, il n’y en a pas des masses. Ce qui, en plus du manque de jeux Nintendo, constitue le principal problème de la Wii aujourd’hui. Pour aller encore plus loin, on prendra l’exemple de la série </w:t>
      </w:r>
      <w:r>
        <w:rPr>
          <w:i/>
          <w:sz w:val="24"/>
        </w:rPr>
        <w:t>Madden NFL</w:t>
      </w:r>
      <w:r>
        <w:rPr>
          <w:sz w:val="24"/>
        </w:rPr>
        <w:t>, très grand public, mais dont l’apport de la Wiimote est surtout gadget. Au final, la série se vend à peu prés autant sur Wii que sur GC à l’époque, malgré la différence fondamental</w:t>
      </w:r>
      <w:r w:rsidR="00930CFA">
        <w:rPr>
          <w:sz w:val="24"/>
        </w:rPr>
        <w:t>e</w:t>
      </w:r>
      <w:r>
        <w:rPr>
          <w:sz w:val="24"/>
        </w:rPr>
        <w:t xml:space="preserve"> des ventes de consoles.</w:t>
      </w:r>
    </w:p>
    <w:p w:rsidR="005942EA" w:rsidRDefault="00930CFA" w:rsidP="00CF3DFF">
      <w:pPr>
        <w:pStyle w:val="NoSpacing"/>
        <w:jc w:val="both"/>
        <w:rPr>
          <w:sz w:val="24"/>
        </w:rPr>
      </w:pPr>
      <w:r w:rsidRPr="00930CFA">
        <w:rPr>
          <w:sz w:val="24"/>
        </w:rPr>
        <w:lastRenderedPageBreak/>
        <w:drawing>
          <wp:inline distT="0" distB="0" distL="0" distR="0">
            <wp:extent cx="5762625" cy="3924300"/>
            <wp:effectExtent l="19050" t="0" r="9525" b="0"/>
            <wp:docPr id="15" name="Picture 0" descr="USMadden1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adden1st.png"/>
                    <pic:cNvPicPr/>
                  </pic:nvPicPr>
                  <pic:blipFill>
                    <a:blip r:embed="rId14" cstate="print"/>
                    <a:stretch>
                      <a:fillRect/>
                    </a:stretch>
                  </pic:blipFill>
                  <pic:spPr>
                    <a:xfrm>
                      <a:off x="0" y="0"/>
                      <a:ext cx="5762625" cy="3924300"/>
                    </a:xfrm>
                    <a:prstGeom prst="rect">
                      <a:avLst/>
                    </a:prstGeom>
                  </pic:spPr>
                </pic:pic>
              </a:graphicData>
            </a:graphic>
          </wp:inline>
        </w:drawing>
      </w:r>
    </w:p>
    <w:p w:rsidR="005942EA" w:rsidRDefault="005942EA" w:rsidP="00CF3DFF">
      <w:pPr>
        <w:pStyle w:val="NoSpacing"/>
        <w:pBdr>
          <w:bottom w:val="single" w:sz="12" w:space="1" w:color="auto"/>
        </w:pBdr>
        <w:jc w:val="both"/>
        <w:rPr>
          <w:sz w:val="24"/>
        </w:rPr>
      </w:pPr>
    </w:p>
    <w:p w:rsidR="005942EA" w:rsidRDefault="005942EA" w:rsidP="00CF3DFF">
      <w:pPr>
        <w:pStyle w:val="NoSpacing"/>
        <w:jc w:val="both"/>
        <w:rPr>
          <w:sz w:val="24"/>
        </w:rPr>
      </w:pPr>
    </w:p>
    <w:p w:rsidR="00762098" w:rsidRPr="006551CB" w:rsidRDefault="005942EA" w:rsidP="00CF3DFF">
      <w:pPr>
        <w:pStyle w:val="NoSpacing"/>
        <w:jc w:val="both"/>
        <w:rPr>
          <w:sz w:val="24"/>
        </w:rPr>
      </w:pPr>
      <w:r>
        <w:rPr>
          <w:sz w:val="24"/>
        </w:rPr>
        <w:t xml:space="preserve">On finira en félicitant le succès de la filiale américaine d’Atlus. A l’instar de XSEED ou NIS America, la branche américaine de cet éditeur japonais a misé toute sa stratégie sur le fait de sortir des jeux typiquement japonais qui ne sont habituellement pas localisé en occident, à commencer par les propres jeux d’Atlus dont les </w:t>
      </w:r>
      <w:r>
        <w:rPr>
          <w:i/>
          <w:sz w:val="24"/>
        </w:rPr>
        <w:t>Persona</w:t>
      </w:r>
      <w:r>
        <w:rPr>
          <w:sz w:val="24"/>
        </w:rPr>
        <w:t xml:space="preserve">. On avait déjà eu l’occasion de constater la réussite de </w:t>
      </w:r>
      <w:r>
        <w:rPr>
          <w:i/>
          <w:sz w:val="24"/>
        </w:rPr>
        <w:t>Persona 4</w:t>
      </w:r>
      <w:r>
        <w:rPr>
          <w:sz w:val="24"/>
        </w:rPr>
        <w:t xml:space="preserve"> sorti en fin d’année dernière sur PS2 avec plus de 120 000 exemplaires vendu en quelques semaines. Cette année, Atlus il y a eu sur DS </w:t>
      </w:r>
      <w:r>
        <w:rPr>
          <w:i/>
          <w:sz w:val="24"/>
        </w:rPr>
        <w:t>Knights in the Nightmare</w:t>
      </w:r>
      <w:r>
        <w:rPr>
          <w:sz w:val="24"/>
        </w:rPr>
        <w:t xml:space="preserve"> qui avec 27 000 exemplaires vendus pour son premier mois ne fait pas d’exploit, mais constitue tout de même une belle performance pour un jeu intimiste au concept tactical très pointu. Et pour cause, puisqu’il se vend finalement mieux qu’au Japon. En octobre dernier, Atlus est arrivé en quelque sorte à l’aboutissement de cette politique qui plait tant aux fans.</w:t>
      </w:r>
      <w:r w:rsidR="006551CB">
        <w:rPr>
          <w:sz w:val="24"/>
        </w:rPr>
        <w:t xml:space="preserve"> Le titre de From Software, </w:t>
      </w:r>
      <w:r w:rsidR="006551CB">
        <w:rPr>
          <w:i/>
          <w:sz w:val="24"/>
        </w:rPr>
        <w:t>Demon’s Souls</w:t>
      </w:r>
      <w:r w:rsidR="006551CB">
        <w:rPr>
          <w:sz w:val="24"/>
        </w:rPr>
        <w:t>, qui s’il était sorti quelques années auparavant ne serait certainement jamais arrivé hors du Japon, s’est vendu à plus de 150 000 exemplaires pour son premier mois, figurant 11</w:t>
      </w:r>
      <w:r w:rsidR="006551CB" w:rsidRPr="006551CB">
        <w:rPr>
          <w:sz w:val="24"/>
          <w:vertAlign w:val="superscript"/>
        </w:rPr>
        <w:t>ème</w:t>
      </w:r>
      <w:r w:rsidR="006551CB">
        <w:rPr>
          <w:sz w:val="24"/>
        </w:rPr>
        <w:t xml:space="preserve"> du classement, devant les autres nouveautés comme </w:t>
      </w:r>
      <w:r w:rsidR="006551CB">
        <w:rPr>
          <w:i/>
          <w:sz w:val="24"/>
        </w:rPr>
        <w:t>Brütal Legend</w:t>
      </w:r>
      <w:r w:rsidR="006551CB">
        <w:rPr>
          <w:sz w:val="24"/>
        </w:rPr>
        <w:t xml:space="preserve">, </w:t>
      </w:r>
      <w:r w:rsidR="006551CB">
        <w:rPr>
          <w:i/>
          <w:sz w:val="24"/>
        </w:rPr>
        <w:t>Smackdown Vs. Raw</w:t>
      </w:r>
      <w:r w:rsidR="006551CB">
        <w:rPr>
          <w:sz w:val="24"/>
        </w:rPr>
        <w:t xml:space="preserve"> ou encore </w:t>
      </w:r>
      <w:r w:rsidR="006551CB">
        <w:rPr>
          <w:i/>
          <w:sz w:val="24"/>
        </w:rPr>
        <w:t>Tekken 6</w:t>
      </w:r>
      <w:r w:rsidR="006551CB">
        <w:rPr>
          <w:sz w:val="24"/>
        </w:rPr>
        <w:t>, excusez du peu.</w:t>
      </w:r>
    </w:p>
    <w:sectPr w:rsidR="00762098" w:rsidRPr="006551CB" w:rsidSect="001844C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D181F"/>
    <w:rsid w:val="0009266C"/>
    <w:rsid w:val="000A698D"/>
    <w:rsid w:val="000E403C"/>
    <w:rsid w:val="001844CA"/>
    <w:rsid w:val="001943BA"/>
    <w:rsid w:val="001B70D9"/>
    <w:rsid w:val="0036538F"/>
    <w:rsid w:val="003B7548"/>
    <w:rsid w:val="004020FC"/>
    <w:rsid w:val="004044D1"/>
    <w:rsid w:val="00416774"/>
    <w:rsid w:val="00457BDB"/>
    <w:rsid w:val="0046301B"/>
    <w:rsid w:val="004D6FD7"/>
    <w:rsid w:val="005942EA"/>
    <w:rsid w:val="00654A4D"/>
    <w:rsid w:val="006551CB"/>
    <w:rsid w:val="00675A72"/>
    <w:rsid w:val="00685C03"/>
    <w:rsid w:val="00762098"/>
    <w:rsid w:val="00797CFE"/>
    <w:rsid w:val="007D181F"/>
    <w:rsid w:val="007D5454"/>
    <w:rsid w:val="007F6326"/>
    <w:rsid w:val="00930CFA"/>
    <w:rsid w:val="009C5D54"/>
    <w:rsid w:val="009E2CC1"/>
    <w:rsid w:val="00A77C93"/>
    <w:rsid w:val="00BB43B5"/>
    <w:rsid w:val="00CA2017"/>
    <w:rsid w:val="00CA276F"/>
    <w:rsid w:val="00CA7DFF"/>
    <w:rsid w:val="00CF3DFF"/>
    <w:rsid w:val="00D21357"/>
    <w:rsid w:val="00D677D8"/>
    <w:rsid w:val="00EA33A0"/>
    <w:rsid w:val="00FC76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7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181F"/>
    <w:pPr>
      <w:spacing w:after="0" w:line="240" w:lineRule="auto"/>
    </w:pPr>
  </w:style>
  <w:style w:type="table" w:styleId="TableGrid">
    <w:name w:val="Table Grid"/>
    <w:basedOn w:val="TableNormal"/>
    <w:uiPriority w:val="59"/>
    <w:rsid w:val="007D18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1">
    <w:name w:val="Medium Shading 1 Accent 1"/>
    <w:basedOn w:val="TableNormal"/>
    <w:uiPriority w:val="63"/>
    <w:rsid w:val="007D181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685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C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chart" Target="charts/chart4.xml"/><Relationship Id="rId5" Type="http://schemas.openxmlformats.org/officeDocument/2006/relationships/chart" Target="charts/chart1.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scar\Desktop\Perso\Charts\Fichiers%20Excel\Ventes%202009%20U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scar\Desktop\Perso\Charts\Fichiers%20Excel\Ventes%202009%20U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car\Desktop\Perso\Charts\Fichiers%20Excel\Ventes%202009%20U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car\Desktop\Perso\Charts\Fichiers%20Excel\Ventes%202009%20U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scar\Desktop\Perso\Charts\Fichiers%20Excel\Ventes%202009%20U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Ventes janvier - octobre aux USA</a:t>
            </a:r>
          </a:p>
        </c:rich>
      </c:tx>
    </c:title>
    <c:plotArea>
      <c:layout>
        <c:manualLayout>
          <c:layoutTarget val="inner"/>
          <c:xMode val="edge"/>
          <c:yMode val="edge"/>
          <c:x val="0.14709951881014874"/>
          <c:y val="0.16702573636628754"/>
          <c:w val="0.82994356955380844"/>
          <c:h val="0.70574803149606591"/>
        </c:manualLayout>
      </c:layout>
      <c:barChart>
        <c:barDir val="col"/>
        <c:grouping val="clustered"/>
        <c:ser>
          <c:idx val="0"/>
          <c:order val="0"/>
          <c:tx>
            <c:strRef>
              <c:f>'Graphiques consoles'!$B$316</c:f>
              <c:strCache>
                <c:ptCount val="1"/>
                <c:pt idx="0">
                  <c:v>2007</c:v>
                </c:pt>
              </c:strCache>
            </c:strRef>
          </c:tx>
          <c:cat>
            <c:strRef>
              <c:f>'Graphiques consoles'!$C$3:$G$3</c:f>
              <c:strCache>
                <c:ptCount val="5"/>
                <c:pt idx="0">
                  <c:v>Wii</c:v>
                </c:pt>
                <c:pt idx="1">
                  <c:v>Nintendo DS</c:v>
                </c:pt>
                <c:pt idx="2">
                  <c:v>Xbox 360</c:v>
                </c:pt>
                <c:pt idx="3">
                  <c:v>PS3</c:v>
                </c:pt>
                <c:pt idx="4">
                  <c:v>PSP</c:v>
                </c:pt>
              </c:strCache>
            </c:strRef>
          </c:cat>
          <c:val>
            <c:numRef>
              <c:f>'Graphiques consoles'!$C$316:$G$316</c:f>
              <c:numCache>
                <c:formatCode>#,##0</c:formatCode>
                <c:ptCount val="5"/>
                <c:pt idx="0">
                  <c:v>3958678</c:v>
                </c:pt>
                <c:pt idx="1">
                  <c:v>4430150</c:v>
                </c:pt>
                <c:pt idx="2">
                  <c:v>2588832</c:v>
                </c:pt>
                <c:pt idx="3">
                  <c:v>1293104</c:v>
                </c:pt>
                <c:pt idx="4">
                  <c:v>2196920</c:v>
                </c:pt>
              </c:numCache>
            </c:numRef>
          </c:val>
        </c:ser>
        <c:ser>
          <c:idx val="1"/>
          <c:order val="1"/>
          <c:tx>
            <c:strRef>
              <c:f>'Graphiques consoles'!$B$317</c:f>
              <c:strCache>
                <c:ptCount val="1"/>
                <c:pt idx="0">
                  <c:v>2008</c:v>
                </c:pt>
              </c:strCache>
            </c:strRef>
          </c:tx>
          <c:cat>
            <c:strRef>
              <c:f>'Graphiques consoles'!$C$3:$G$3</c:f>
              <c:strCache>
                <c:ptCount val="5"/>
                <c:pt idx="0">
                  <c:v>Wii</c:v>
                </c:pt>
                <c:pt idx="1">
                  <c:v>Nintendo DS</c:v>
                </c:pt>
                <c:pt idx="2">
                  <c:v>Xbox 360</c:v>
                </c:pt>
                <c:pt idx="3">
                  <c:v>PS3</c:v>
                </c:pt>
                <c:pt idx="4">
                  <c:v>PSP</c:v>
                </c:pt>
              </c:strCache>
            </c:strRef>
          </c:cat>
          <c:val>
            <c:numRef>
              <c:f>'Graphiques consoles'!$C$317:$G$317</c:f>
              <c:numCache>
                <c:formatCode>#,##0</c:formatCode>
                <c:ptCount val="5"/>
                <c:pt idx="0">
                  <c:v>5981000</c:v>
                </c:pt>
                <c:pt idx="1">
                  <c:v>5342100</c:v>
                </c:pt>
                <c:pt idx="2">
                  <c:v>2494400</c:v>
                </c:pt>
                <c:pt idx="3">
                  <c:v>2441900</c:v>
                </c:pt>
                <c:pt idx="4">
                  <c:v>2388600</c:v>
                </c:pt>
              </c:numCache>
            </c:numRef>
          </c:val>
        </c:ser>
        <c:ser>
          <c:idx val="2"/>
          <c:order val="2"/>
          <c:tx>
            <c:strRef>
              <c:f>'Graphiques consoles'!$B$318</c:f>
              <c:strCache>
                <c:ptCount val="1"/>
                <c:pt idx="0">
                  <c:v>2009</c:v>
                </c:pt>
              </c:strCache>
            </c:strRef>
          </c:tx>
          <c:cat>
            <c:strRef>
              <c:f>'Graphiques consoles'!$C$3:$G$3</c:f>
              <c:strCache>
                <c:ptCount val="5"/>
                <c:pt idx="0">
                  <c:v>Wii</c:v>
                </c:pt>
                <c:pt idx="1">
                  <c:v>Nintendo DS</c:v>
                </c:pt>
                <c:pt idx="2">
                  <c:v>Xbox 360</c:v>
                </c:pt>
                <c:pt idx="3">
                  <c:v>PS3</c:v>
                </c:pt>
                <c:pt idx="4">
                  <c:v>PSP</c:v>
                </c:pt>
              </c:strCache>
            </c:strRef>
          </c:cat>
          <c:val>
            <c:numRef>
              <c:f>'Graphiques consoles'!$C$318:$G$318</c:f>
              <c:numCache>
                <c:formatCode>#,##0</c:formatCode>
                <c:ptCount val="5"/>
                <c:pt idx="0">
                  <c:v>4524000</c:v>
                </c:pt>
                <c:pt idx="1">
                  <c:v>6175400</c:v>
                </c:pt>
                <c:pt idx="2">
                  <c:v>2641200</c:v>
                </c:pt>
                <c:pt idx="3">
                  <c:v>2264100</c:v>
                </c:pt>
                <c:pt idx="4">
                  <c:v>1547300</c:v>
                </c:pt>
              </c:numCache>
            </c:numRef>
          </c:val>
        </c:ser>
        <c:axId val="121271040"/>
        <c:axId val="121295616"/>
      </c:barChart>
      <c:catAx>
        <c:axId val="121271040"/>
        <c:scaling>
          <c:orientation val="minMax"/>
        </c:scaling>
        <c:axPos val="b"/>
        <c:tickLblPos val="nextTo"/>
        <c:crossAx val="121295616"/>
        <c:crosses val="autoZero"/>
        <c:auto val="1"/>
        <c:lblAlgn val="ctr"/>
        <c:lblOffset val="100"/>
      </c:catAx>
      <c:valAx>
        <c:axId val="121295616"/>
        <c:scaling>
          <c:orientation val="minMax"/>
        </c:scaling>
        <c:axPos val="l"/>
        <c:majorGridlines/>
        <c:numFmt formatCode="#,##0" sourceLinked="1"/>
        <c:tickLblPos val="nextTo"/>
        <c:crossAx val="121271040"/>
        <c:crosses val="autoZero"/>
        <c:crossBetween val="between"/>
      </c:valAx>
    </c:plotArea>
    <c:legend>
      <c:legendPos val="r"/>
      <c:layout>
        <c:manualLayout>
          <c:xMode val="edge"/>
          <c:yMode val="edge"/>
          <c:x val="0.86315419947506566"/>
          <c:y val="0.18223680373286777"/>
          <c:w val="0.10351246719160105"/>
          <c:h val="0.25115157480314959"/>
        </c:manualLayout>
      </c:layou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olidFill>
        </a:ln>
      </c:sp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C.A.</a:t>
            </a:r>
            <a:r>
              <a:rPr lang="fr-FR" baseline="0"/>
              <a:t> du marché du jeu vidéo aux USA</a:t>
            </a:r>
            <a:endParaRPr lang="fr-FR"/>
          </a:p>
        </c:rich>
      </c:tx>
    </c:title>
    <c:plotArea>
      <c:layout>
        <c:manualLayout>
          <c:layoutTarget val="inner"/>
          <c:xMode val="edge"/>
          <c:yMode val="edge"/>
          <c:x val="0.10504396325459317"/>
          <c:y val="0.19480351414406533"/>
          <c:w val="0.87852537182852164"/>
          <c:h val="0.67797025371828734"/>
        </c:manualLayout>
      </c:layout>
      <c:lineChart>
        <c:grouping val="standard"/>
        <c:ser>
          <c:idx val="0"/>
          <c:order val="0"/>
          <c:tx>
            <c:strRef>
              <c:f>Courbes!$C$3</c:f>
              <c:strCache>
                <c:ptCount val="1"/>
                <c:pt idx="0">
                  <c:v>2008</c:v>
                </c:pt>
              </c:strCache>
            </c:strRef>
          </c:tx>
          <c:cat>
            <c:strRef>
              <c:f>Courbes!$B$4:$B$13</c:f>
              <c:strCache>
                <c:ptCount val="10"/>
                <c:pt idx="0">
                  <c:v>Janv.</c:v>
                </c:pt>
                <c:pt idx="1">
                  <c:v>Fév.</c:v>
                </c:pt>
                <c:pt idx="2">
                  <c:v>Mars</c:v>
                </c:pt>
                <c:pt idx="3">
                  <c:v>Avril</c:v>
                </c:pt>
                <c:pt idx="4">
                  <c:v>Mai</c:v>
                </c:pt>
                <c:pt idx="5">
                  <c:v>Juin</c:v>
                </c:pt>
                <c:pt idx="6">
                  <c:v>Juill.</c:v>
                </c:pt>
                <c:pt idx="7">
                  <c:v>Août</c:v>
                </c:pt>
                <c:pt idx="8">
                  <c:v>Sept.</c:v>
                </c:pt>
                <c:pt idx="9">
                  <c:v>Oct.</c:v>
                </c:pt>
              </c:strCache>
            </c:strRef>
          </c:cat>
          <c:val>
            <c:numRef>
              <c:f>Courbes!$C$4:$C$13</c:f>
              <c:numCache>
                <c:formatCode>#,##0.00</c:formatCode>
                <c:ptCount val="10"/>
                <c:pt idx="0">
                  <c:v>1180</c:v>
                </c:pt>
                <c:pt idx="1">
                  <c:v>1340</c:v>
                </c:pt>
                <c:pt idx="2">
                  <c:v>1720</c:v>
                </c:pt>
                <c:pt idx="3">
                  <c:v>1240</c:v>
                </c:pt>
                <c:pt idx="4">
                  <c:v>1122.7</c:v>
                </c:pt>
                <c:pt idx="5">
                  <c:v>1695.8</c:v>
                </c:pt>
                <c:pt idx="6">
                  <c:v>1189.4000000000001</c:v>
                </c:pt>
                <c:pt idx="7">
                  <c:v>1085</c:v>
                </c:pt>
                <c:pt idx="8">
                  <c:v>1266.7</c:v>
                </c:pt>
                <c:pt idx="9">
                  <c:v>1316.3</c:v>
                </c:pt>
              </c:numCache>
            </c:numRef>
          </c:val>
        </c:ser>
        <c:ser>
          <c:idx val="1"/>
          <c:order val="1"/>
          <c:tx>
            <c:strRef>
              <c:f>Courbes!$D$3</c:f>
              <c:strCache>
                <c:ptCount val="1"/>
                <c:pt idx="0">
                  <c:v>2009</c:v>
                </c:pt>
              </c:strCache>
            </c:strRef>
          </c:tx>
          <c:cat>
            <c:strRef>
              <c:f>Courbes!$B$4:$B$13</c:f>
              <c:strCache>
                <c:ptCount val="10"/>
                <c:pt idx="0">
                  <c:v>Janv.</c:v>
                </c:pt>
                <c:pt idx="1">
                  <c:v>Fév.</c:v>
                </c:pt>
                <c:pt idx="2">
                  <c:v>Mars</c:v>
                </c:pt>
                <c:pt idx="3">
                  <c:v>Avril</c:v>
                </c:pt>
                <c:pt idx="4">
                  <c:v>Mai</c:v>
                </c:pt>
                <c:pt idx="5">
                  <c:v>Juin</c:v>
                </c:pt>
                <c:pt idx="6">
                  <c:v>Juill.</c:v>
                </c:pt>
                <c:pt idx="7">
                  <c:v>Août</c:v>
                </c:pt>
                <c:pt idx="8">
                  <c:v>Sept.</c:v>
                </c:pt>
                <c:pt idx="9">
                  <c:v>Oct.</c:v>
                </c:pt>
              </c:strCache>
            </c:strRef>
          </c:cat>
          <c:val>
            <c:numRef>
              <c:f>Courbes!$D$4:$D$13</c:f>
              <c:numCache>
                <c:formatCode>#,##0.00</c:formatCode>
                <c:ptCount val="10"/>
                <c:pt idx="0">
                  <c:v>1330</c:v>
                </c:pt>
                <c:pt idx="1">
                  <c:v>1470</c:v>
                </c:pt>
                <c:pt idx="2">
                  <c:v>1430</c:v>
                </c:pt>
                <c:pt idx="3">
                  <c:v>1030</c:v>
                </c:pt>
                <c:pt idx="4">
                  <c:v>863.4</c:v>
                </c:pt>
                <c:pt idx="5">
                  <c:v>1166.5999999999999</c:v>
                </c:pt>
                <c:pt idx="6">
                  <c:v>848.9</c:v>
                </c:pt>
                <c:pt idx="7">
                  <c:v>908.7</c:v>
                </c:pt>
                <c:pt idx="8">
                  <c:v>1278.9000000000001</c:v>
                </c:pt>
                <c:pt idx="9">
                  <c:v>1072.4000000000001</c:v>
                </c:pt>
              </c:numCache>
            </c:numRef>
          </c:val>
        </c:ser>
        <c:marker val="1"/>
        <c:axId val="122527744"/>
        <c:axId val="122532992"/>
      </c:lineChart>
      <c:catAx>
        <c:axId val="122527744"/>
        <c:scaling>
          <c:orientation val="minMax"/>
        </c:scaling>
        <c:axPos val="b"/>
        <c:tickLblPos val="nextTo"/>
        <c:crossAx val="122532992"/>
        <c:crosses val="autoZero"/>
        <c:auto val="1"/>
        <c:lblAlgn val="ctr"/>
        <c:lblOffset val="100"/>
      </c:catAx>
      <c:valAx>
        <c:axId val="122532992"/>
        <c:scaling>
          <c:orientation val="minMax"/>
        </c:scaling>
        <c:axPos val="l"/>
        <c:majorGridlines/>
        <c:numFmt formatCode="#,##0" sourceLinked="0"/>
        <c:tickLblPos val="nextTo"/>
        <c:crossAx val="122527744"/>
        <c:crosses val="autoZero"/>
        <c:crossBetween val="between"/>
      </c:valAx>
    </c:plotArea>
    <c:legend>
      <c:legendPos val="r"/>
      <c:layout>
        <c:manualLayout>
          <c:xMode val="edge"/>
          <c:yMode val="edge"/>
          <c:x val="0.127"/>
          <c:y val="0.64539151356080593"/>
          <c:w val="0.14244444444444473"/>
          <c:h val="0.17669364246135899"/>
        </c:manualLayout>
      </c:layou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4F81BD"/>
          </a:solidFill>
        </a:ln>
      </c:sp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Premier mois des </a:t>
            </a:r>
            <a:r>
              <a:rPr lang="fr-FR" i="1"/>
              <a:t>NCAA Football</a:t>
            </a:r>
            <a:endParaRPr lang="fr-FR"/>
          </a:p>
        </c:rich>
      </c:tx>
    </c:title>
    <c:plotArea>
      <c:layout/>
      <c:barChart>
        <c:barDir val="col"/>
        <c:grouping val="stacked"/>
        <c:ser>
          <c:idx val="0"/>
          <c:order val="0"/>
          <c:tx>
            <c:strRef>
              <c:f>'Graphiques jeux'!$HN$3</c:f>
              <c:strCache>
                <c:ptCount val="1"/>
                <c:pt idx="0">
                  <c:v>X360</c:v>
                </c:pt>
              </c:strCache>
            </c:strRef>
          </c:tx>
          <c:spPr>
            <a:solidFill>
              <a:srgbClr val="92D050"/>
            </a:solidFill>
          </c:spPr>
          <c:cat>
            <c:numRef>
              <c:f>'Graphiques jeux'!$HO$2:$HS$2</c:f>
              <c:numCache>
                <c:formatCode>General</c:formatCode>
                <c:ptCount val="5"/>
                <c:pt idx="0">
                  <c:v>2006</c:v>
                </c:pt>
                <c:pt idx="1">
                  <c:v>2007</c:v>
                </c:pt>
                <c:pt idx="2">
                  <c:v>2008</c:v>
                </c:pt>
                <c:pt idx="3">
                  <c:v>2009</c:v>
                </c:pt>
                <c:pt idx="4">
                  <c:v>2010</c:v>
                </c:pt>
              </c:numCache>
            </c:numRef>
          </c:cat>
          <c:val>
            <c:numRef>
              <c:f>'Graphiques jeux'!$HO$3:$HS$3</c:f>
              <c:numCache>
                <c:formatCode>#,##0</c:formatCode>
                <c:ptCount val="5"/>
                <c:pt idx="1">
                  <c:v>332000</c:v>
                </c:pt>
                <c:pt idx="2">
                  <c:v>397000</c:v>
                </c:pt>
                <c:pt idx="3">
                  <c:v>397600</c:v>
                </c:pt>
                <c:pt idx="4">
                  <c:v>376500</c:v>
                </c:pt>
              </c:numCache>
            </c:numRef>
          </c:val>
        </c:ser>
        <c:ser>
          <c:idx val="1"/>
          <c:order val="1"/>
          <c:tx>
            <c:strRef>
              <c:f>'Graphiques jeux'!$HN$4</c:f>
              <c:strCache>
                <c:ptCount val="1"/>
                <c:pt idx="0">
                  <c:v>PS3</c:v>
                </c:pt>
              </c:strCache>
            </c:strRef>
          </c:tx>
          <c:spPr>
            <a:solidFill>
              <a:schemeClr val="tx1"/>
            </a:solidFill>
          </c:spPr>
          <c:cat>
            <c:numRef>
              <c:f>'Graphiques jeux'!$HO$2:$HS$2</c:f>
              <c:numCache>
                <c:formatCode>General</c:formatCode>
                <c:ptCount val="5"/>
                <c:pt idx="0">
                  <c:v>2006</c:v>
                </c:pt>
                <c:pt idx="1">
                  <c:v>2007</c:v>
                </c:pt>
                <c:pt idx="2">
                  <c:v>2008</c:v>
                </c:pt>
                <c:pt idx="3">
                  <c:v>2009</c:v>
                </c:pt>
                <c:pt idx="4">
                  <c:v>2010</c:v>
                </c:pt>
              </c:numCache>
            </c:numRef>
          </c:cat>
          <c:val>
            <c:numRef>
              <c:f>'Graphiques jeux'!$HO$4:$HS$4</c:f>
              <c:numCache>
                <c:formatCode>General</c:formatCode>
                <c:ptCount val="5"/>
                <c:pt idx="2" formatCode="#,##0">
                  <c:v>156000</c:v>
                </c:pt>
                <c:pt idx="3" formatCode="#,##0">
                  <c:v>242500</c:v>
                </c:pt>
                <c:pt idx="4" formatCode="#,##0">
                  <c:v>237400</c:v>
                </c:pt>
              </c:numCache>
            </c:numRef>
          </c:val>
        </c:ser>
        <c:ser>
          <c:idx val="2"/>
          <c:order val="2"/>
          <c:tx>
            <c:strRef>
              <c:f>'Graphiques jeux'!$HN$5</c:f>
              <c:strCache>
                <c:ptCount val="1"/>
                <c:pt idx="0">
                  <c:v>XBX</c:v>
                </c:pt>
              </c:strCache>
            </c:strRef>
          </c:tx>
          <c:spPr>
            <a:solidFill>
              <a:schemeClr val="accent3"/>
            </a:solidFill>
          </c:spPr>
          <c:cat>
            <c:numRef>
              <c:f>'Graphiques jeux'!$HO$2:$HS$2</c:f>
              <c:numCache>
                <c:formatCode>General</c:formatCode>
                <c:ptCount val="5"/>
                <c:pt idx="0">
                  <c:v>2006</c:v>
                </c:pt>
                <c:pt idx="1">
                  <c:v>2007</c:v>
                </c:pt>
                <c:pt idx="2">
                  <c:v>2008</c:v>
                </c:pt>
                <c:pt idx="3">
                  <c:v>2009</c:v>
                </c:pt>
                <c:pt idx="4">
                  <c:v>2010</c:v>
                </c:pt>
              </c:numCache>
            </c:numRef>
          </c:cat>
          <c:val>
            <c:numRef>
              <c:f>'Graphiques jeux'!$HO$5:$HS$5</c:f>
              <c:numCache>
                <c:formatCode>General</c:formatCode>
                <c:ptCount val="5"/>
                <c:pt idx="0" formatCode="#,##0">
                  <c:v>332478</c:v>
                </c:pt>
              </c:numCache>
            </c:numRef>
          </c:val>
        </c:ser>
        <c:ser>
          <c:idx val="3"/>
          <c:order val="3"/>
          <c:tx>
            <c:strRef>
              <c:f>'Graphiques jeux'!$HN$6</c:f>
              <c:strCache>
                <c:ptCount val="1"/>
                <c:pt idx="0">
                  <c:v>PS2</c:v>
                </c:pt>
              </c:strCache>
            </c:strRef>
          </c:tx>
          <c:spPr>
            <a:solidFill>
              <a:srgbClr val="FF0000"/>
            </a:solidFill>
          </c:spPr>
          <c:cat>
            <c:numRef>
              <c:f>'Graphiques jeux'!$HO$2:$HS$2</c:f>
              <c:numCache>
                <c:formatCode>General</c:formatCode>
                <c:ptCount val="5"/>
                <c:pt idx="0">
                  <c:v>2006</c:v>
                </c:pt>
                <c:pt idx="1">
                  <c:v>2007</c:v>
                </c:pt>
                <c:pt idx="2">
                  <c:v>2008</c:v>
                </c:pt>
                <c:pt idx="3">
                  <c:v>2009</c:v>
                </c:pt>
                <c:pt idx="4">
                  <c:v>2010</c:v>
                </c:pt>
              </c:numCache>
            </c:numRef>
          </c:cat>
          <c:val>
            <c:numRef>
              <c:f>'Graphiques jeux'!$HO$6:$HS$6</c:f>
              <c:numCache>
                <c:formatCode>#,##0</c:formatCode>
                <c:ptCount val="5"/>
                <c:pt idx="0">
                  <c:v>610803</c:v>
                </c:pt>
                <c:pt idx="1">
                  <c:v>492000</c:v>
                </c:pt>
                <c:pt idx="2">
                  <c:v>236000</c:v>
                </c:pt>
                <c:pt idx="3">
                  <c:v>140000</c:v>
                </c:pt>
                <c:pt idx="4">
                  <c:v>60000</c:v>
                </c:pt>
              </c:numCache>
            </c:numRef>
          </c:val>
        </c:ser>
        <c:overlap val="100"/>
        <c:axId val="120357632"/>
        <c:axId val="120359168"/>
      </c:barChart>
      <c:catAx>
        <c:axId val="120357632"/>
        <c:scaling>
          <c:orientation val="minMax"/>
        </c:scaling>
        <c:axPos val="b"/>
        <c:numFmt formatCode="General" sourceLinked="1"/>
        <c:tickLblPos val="nextTo"/>
        <c:crossAx val="120359168"/>
        <c:crosses val="autoZero"/>
        <c:auto val="1"/>
        <c:lblAlgn val="ctr"/>
        <c:lblOffset val="100"/>
      </c:catAx>
      <c:valAx>
        <c:axId val="120359168"/>
        <c:scaling>
          <c:orientation val="minMax"/>
        </c:scaling>
        <c:axPos val="l"/>
        <c:majorGridlines/>
        <c:numFmt formatCode="General" sourceLinked="1"/>
        <c:tickLblPos val="nextTo"/>
        <c:crossAx val="120357632"/>
        <c:crosses val="autoZero"/>
        <c:crossBetween val="between"/>
      </c:valAx>
    </c:plotArea>
    <c:legend>
      <c:legendPos val="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olidFill>
        </a:ln>
      </c:sp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770"/>
              <a:t>Premier mois des </a:t>
            </a:r>
            <a:r>
              <a:rPr lang="fr-FR" sz="1770" i="1"/>
              <a:t>Guitar Hero</a:t>
            </a:r>
            <a:r>
              <a:rPr lang="fr-FR" sz="1770" i="0"/>
              <a:t> aux</a:t>
            </a:r>
            <a:r>
              <a:rPr lang="fr-FR" sz="1770" i="0" baseline="0"/>
              <a:t> USA</a:t>
            </a:r>
            <a:endParaRPr lang="fr-FR" sz="1770"/>
          </a:p>
        </c:rich>
      </c:tx>
    </c:title>
    <c:plotArea>
      <c:layout/>
      <c:barChart>
        <c:barDir val="col"/>
        <c:grouping val="stacked"/>
        <c:ser>
          <c:idx val="0"/>
          <c:order val="0"/>
          <c:tx>
            <c:strRef>
              <c:f>'Graphiques jeux'!$HN$3</c:f>
              <c:strCache>
                <c:ptCount val="1"/>
                <c:pt idx="0">
                  <c:v>X360</c:v>
                </c:pt>
              </c:strCache>
            </c:strRef>
          </c:tx>
          <c:cat>
            <c:strRef>
              <c:f>'Graphiques jeux'!$HW$2:$IA$2</c:f>
              <c:strCache>
                <c:ptCount val="5"/>
                <c:pt idx="0">
                  <c:v>GH1</c:v>
                </c:pt>
                <c:pt idx="1">
                  <c:v>GH2</c:v>
                </c:pt>
                <c:pt idx="2">
                  <c:v>GH3</c:v>
                </c:pt>
                <c:pt idx="3">
                  <c:v>GH4</c:v>
                </c:pt>
                <c:pt idx="4">
                  <c:v>GH5</c:v>
                </c:pt>
              </c:strCache>
            </c:strRef>
          </c:cat>
          <c:val>
            <c:numRef>
              <c:f>'Graphiques jeux'!$HW$3:$IA$3</c:f>
              <c:numCache>
                <c:formatCode>#,##0</c:formatCode>
                <c:ptCount val="5"/>
                <c:pt idx="0">
                  <c:v>38500</c:v>
                </c:pt>
                <c:pt idx="1">
                  <c:v>498000</c:v>
                </c:pt>
                <c:pt idx="2">
                  <c:v>1278100</c:v>
                </c:pt>
                <c:pt idx="3">
                  <c:v>1534000</c:v>
                </c:pt>
                <c:pt idx="4">
                  <c:v>499000</c:v>
                </c:pt>
              </c:numCache>
            </c:numRef>
          </c:val>
        </c:ser>
        <c:overlap val="100"/>
        <c:axId val="120428416"/>
        <c:axId val="120429952"/>
      </c:barChart>
      <c:catAx>
        <c:axId val="120428416"/>
        <c:scaling>
          <c:orientation val="minMax"/>
        </c:scaling>
        <c:axPos val="b"/>
        <c:numFmt formatCode="General" sourceLinked="1"/>
        <c:tickLblPos val="nextTo"/>
        <c:crossAx val="120429952"/>
        <c:crosses val="autoZero"/>
        <c:auto val="1"/>
        <c:lblAlgn val="ctr"/>
        <c:lblOffset val="100"/>
      </c:catAx>
      <c:valAx>
        <c:axId val="120429952"/>
        <c:scaling>
          <c:orientation val="minMax"/>
          <c:max val="1600000"/>
        </c:scaling>
        <c:axPos val="l"/>
        <c:majorGridlines/>
        <c:numFmt formatCode="#,##0" sourceLinked="1"/>
        <c:tickLblPos val="nextTo"/>
        <c:crossAx val="12042841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Répartition</a:t>
            </a:r>
            <a:r>
              <a:rPr lang="fr-FR" baseline="0"/>
              <a:t> des ventes (en juin uniquement)</a:t>
            </a:r>
            <a:endParaRPr lang="fr-FR"/>
          </a:p>
        </c:rich>
      </c:tx>
    </c:title>
    <c:plotArea>
      <c:layout>
        <c:manualLayout>
          <c:layoutTarget val="inner"/>
          <c:xMode val="edge"/>
          <c:yMode val="edge"/>
          <c:x val="7.8955223249457099E-2"/>
          <c:y val="0.2271815061578841"/>
          <c:w val="0.90067440935048027"/>
          <c:h val="0.65537889494582469"/>
        </c:manualLayout>
      </c:layout>
      <c:barChart>
        <c:barDir val="col"/>
        <c:grouping val="percentStacked"/>
        <c:ser>
          <c:idx val="0"/>
          <c:order val="0"/>
          <c:tx>
            <c:strRef>
              <c:f>'Graphiques jeux'!$HB$3</c:f>
              <c:strCache>
                <c:ptCount val="1"/>
                <c:pt idx="0">
                  <c:v>X360</c:v>
                </c:pt>
              </c:strCache>
            </c:strRef>
          </c:tx>
          <c:spPr>
            <a:solidFill>
              <a:srgbClr val="92D050"/>
            </a:solidFill>
          </c:spPr>
          <c:cat>
            <c:strRef>
              <c:f>'Graphiques jeux'!$HC$2:$HK$2</c:f>
              <c:strCache>
                <c:ptCount val="9"/>
                <c:pt idx="0">
                  <c:v>Red Fact.</c:v>
                </c:pt>
                <c:pt idx="1">
                  <c:v>Prototype</c:v>
                </c:pt>
                <c:pt idx="2">
                  <c:v>UFC 2009</c:v>
                </c:pt>
                <c:pt idx="3">
                  <c:v>Fight Night</c:v>
                </c:pt>
                <c:pt idx="4">
                  <c:v>CoJ 2</c:v>
                </c:pt>
                <c:pt idx="5">
                  <c:v>Blazblue</c:v>
                </c:pt>
                <c:pt idx="6">
                  <c:v>VT 2009</c:v>
                </c:pt>
                <c:pt idx="7">
                  <c:v>CoD 5</c:v>
                </c:pt>
                <c:pt idx="8">
                  <c:v>HP6</c:v>
                </c:pt>
              </c:strCache>
            </c:strRef>
          </c:cat>
          <c:val>
            <c:numRef>
              <c:f>'Graphiques jeux'!$HC$3:$HK$3</c:f>
              <c:numCache>
                <c:formatCode>#,##0</c:formatCode>
                <c:ptCount val="9"/>
                <c:pt idx="0">
                  <c:v>199380</c:v>
                </c:pt>
                <c:pt idx="1">
                  <c:v>419863</c:v>
                </c:pt>
                <c:pt idx="2">
                  <c:v>338278</c:v>
                </c:pt>
                <c:pt idx="3">
                  <c:v>260817</c:v>
                </c:pt>
                <c:pt idx="4">
                  <c:v>23684</c:v>
                </c:pt>
                <c:pt idx="5">
                  <c:v>28905</c:v>
                </c:pt>
                <c:pt idx="6">
                  <c:v>6135</c:v>
                </c:pt>
                <c:pt idx="7">
                  <c:v>88589</c:v>
                </c:pt>
                <c:pt idx="8">
                  <c:v>6919</c:v>
                </c:pt>
              </c:numCache>
            </c:numRef>
          </c:val>
        </c:ser>
        <c:ser>
          <c:idx val="1"/>
          <c:order val="1"/>
          <c:tx>
            <c:strRef>
              <c:f>'Graphiques jeux'!$HB$4</c:f>
              <c:strCache>
                <c:ptCount val="1"/>
                <c:pt idx="0">
                  <c:v>PS3</c:v>
                </c:pt>
              </c:strCache>
            </c:strRef>
          </c:tx>
          <c:spPr>
            <a:solidFill>
              <a:srgbClr val="FF0000"/>
            </a:solidFill>
          </c:spPr>
          <c:cat>
            <c:strRef>
              <c:f>'Graphiques jeux'!$HC$2:$HK$2</c:f>
              <c:strCache>
                <c:ptCount val="9"/>
                <c:pt idx="0">
                  <c:v>Red Fact.</c:v>
                </c:pt>
                <c:pt idx="1">
                  <c:v>Prototype</c:v>
                </c:pt>
                <c:pt idx="2">
                  <c:v>UFC 2009</c:v>
                </c:pt>
                <c:pt idx="3">
                  <c:v>Fight Night</c:v>
                </c:pt>
                <c:pt idx="4">
                  <c:v>CoJ 2</c:v>
                </c:pt>
                <c:pt idx="5">
                  <c:v>Blazblue</c:v>
                </c:pt>
                <c:pt idx="6">
                  <c:v>VT 2009</c:v>
                </c:pt>
                <c:pt idx="7">
                  <c:v>CoD 5</c:v>
                </c:pt>
                <c:pt idx="8">
                  <c:v>HP6</c:v>
                </c:pt>
              </c:strCache>
            </c:strRef>
          </c:cat>
          <c:val>
            <c:numRef>
              <c:f>'Graphiques jeux'!$HC$4:$HK$4</c:f>
              <c:numCache>
                <c:formatCode>#,##0</c:formatCode>
                <c:ptCount val="9"/>
                <c:pt idx="0">
                  <c:v>67486</c:v>
                </c:pt>
                <c:pt idx="1">
                  <c:v>179210</c:v>
                </c:pt>
                <c:pt idx="2">
                  <c:v>187895</c:v>
                </c:pt>
                <c:pt idx="3">
                  <c:v>210335</c:v>
                </c:pt>
                <c:pt idx="4">
                  <c:v>19567</c:v>
                </c:pt>
                <c:pt idx="5">
                  <c:v>36570</c:v>
                </c:pt>
                <c:pt idx="6">
                  <c:v>9066</c:v>
                </c:pt>
                <c:pt idx="7">
                  <c:v>38798</c:v>
                </c:pt>
                <c:pt idx="8">
                  <c:v>5108</c:v>
                </c:pt>
              </c:numCache>
            </c:numRef>
          </c:val>
        </c:ser>
        <c:ser>
          <c:idx val="2"/>
          <c:order val="2"/>
          <c:tx>
            <c:strRef>
              <c:f>'Graphiques jeux'!$HB$5</c:f>
              <c:strCache>
                <c:ptCount val="1"/>
                <c:pt idx="0">
                  <c:v>Wii</c:v>
                </c:pt>
              </c:strCache>
            </c:strRef>
          </c:tx>
          <c:spPr>
            <a:solidFill>
              <a:srgbClr val="00B0F0"/>
            </a:solidFill>
          </c:spPr>
          <c:cat>
            <c:strRef>
              <c:f>'Graphiques jeux'!$HC$2:$HK$2</c:f>
              <c:strCache>
                <c:ptCount val="9"/>
                <c:pt idx="0">
                  <c:v>Red Fact.</c:v>
                </c:pt>
                <c:pt idx="1">
                  <c:v>Prototype</c:v>
                </c:pt>
                <c:pt idx="2">
                  <c:v>UFC 2009</c:v>
                </c:pt>
                <c:pt idx="3">
                  <c:v>Fight Night</c:v>
                </c:pt>
                <c:pt idx="4">
                  <c:v>CoJ 2</c:v>
                </c:pt>
                <c:pt idx="5">
                  <c:v>Blazblue</c:v>
                </c:pt>
                <c:pt idx="6">
                  <c:v>VT 2009</c:v>
                </c:pt>
                <c:pt idx="7">
                  <c:v>CoD 5</c:v>
                </c:pt>
                <c:pt idx="8">
                  <c:v>HP6</c:v>
                </c:pt>
              </c:strCache>
            </c:strRef>
          </c:cat>
          <c:val>
            <c:numRef>
              <c:f>'Graphiques jeux'!$HC$5:$HK$5</c:f>
              <c:numCache>
                <c:formatCode>General</c:formatCode>
                <c:ptCount val="9"/>
                <c:pt idx="6" formatCode="#,##0">
                  <c:v>11941</c:v>
                </c:pt>
                <c:pt idx="7" formatCode="#,##0">
                  <c:v>26563</c:v>
                </c:pt>
                <c:pt idx="8" formatCode="#,##0">
                  <c:v>11459</c:v>
                </c:pt>
              </c:numCache>
            </c:numRef>
          </c:val>
        </c:ser>
        <c:ser>
          <c:idx val="3"/>
          <c:order val="3"/>
          <c:tx>
            <c:strRef>
              <c:f>'Graphiques jeux'!$HB$6</c:f>
              <c:strCache>
                <c:ptCount val="1"/>
                <c:pt idx="0">
                  <c:v>PS2</c:v>
                </c:pt>
              </c:strCache>
            </c:strRef>
          </c:tx>
          <c:spPr>
            <a:solidFill>
              <a:srgbClr val="FFC000"/>
            </a:solidFill>
          </c:spPr>
          <c:cat>
            <c:strRef>
              <c:f>'Graphiques jeux'!$HC$2:$HK$2</c:f>
              <c:strCache>
                <c:ptCount val="9"/>
                <c:pt idx="0">
                  <c:v>Red Fact.</c:v>
                </c:pt>
                <c:pt idx="1">
                  <c:v>Prototype</c:v>
                </c:pt>
                <c:pt idx="2">
                  <c:v>UFC 2009</c:v>
                </c:pt>
                <c:pt idx="3">
                  <c:v>Fight Night</c:v>
                </c:pt>
                <c:pt idx="4">
                  <c:v>CoJ 2</c:v>
                </c:pt>
                <c:pt idx="5">
                  <c:v>Blazblue</c:v>
                </c:pt>
                <c:pt idx="6">
                  <c:v>VT 2009</c:v>
                </c:pt>
                <c:pt idx="7">
                  <c:v>CoD 5</c:v>
                </c:pt>
                <c:pt idx="8">
                  <c:v>HP6</c:v>
                </c:pt>
              </c:strCache>
            </c:strRef>
          </c:cat>
          <c:val>
            <c:numRef>
              <c:f>'Graphiques jeux'!$HC$6:$HK$6</c:f>
              <c:numCache>
                <c:formatCode>General</c:formatCode>
                <c:ptCount val="9"/>
                <c:pt idx="7" formatCode="#,##0">
                  <c:v>20496</c:v>
                </c:pt>
                <c:pt idx="8" formatCode="#,##0">
                  <c:v>7496</c:v>
                </c:pt>
              </c:numCache>
            </c:numRef>
          </c:val>
        </c:ser>
        <c:overlap val="100"/>
        <c:axId val="120501376"/>
        <c:axId val="120502912"/>
      </c:barChart>
      <c:catAx>
        <c:axId val="120501376"/>
        <c:scaling>
          <c:orientation val="minMax"/>
        </c:scaling>
        <c:axPos val="b"/>
        <c:tickLblPos val="nextTo"/>
        <c:crossAx val="120502912"/>
        <c:crosses val="autoZero"/>
        <c:auto val="1"/>
        <c:lblAlgn val="ctr"/>
        <c:lblOffset val="100"/>
      </c:catAx>
      <c:valAx>
        <c:axId val="120502912"/>
        <c:scaling>
          <c:orientation val="minMax"/>
        </c:scaling>
        <c:axPos val="l"/>
        <c:majorGridlines/>
        <c:numFmt formatCode="0%" sourceLinked="1"/>
        <c:tickLblPos val="nextTo"/>
        <c:crossAx val="120501376"/>
        <c:crosses val="autoZero"/>
        <c:crossBetween val="between"/>
      </c:valAx>
    </c:plotArea>
    <c:legend>
      <c:legendPos val="t"/>
      <c:layout>
        <c:manualLayout>
          <c:xMode val="edge"/>
          <c:yMode val="edge"/>
          <c:x val="0.38057445602588891"/>
          <c:y val="0.136645467393499"/>
          <c:w val="0.26870726092281488"/>
          <c:h val="7.727740763173839E-2"/>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46E99-D2E4-4688-AA33-F0AAEC0E5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9</Pages>
  <Words>2926</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8</cp:revision>
  <dcterms:created xsi:type="dcterms:W3CDTF">2009-11-21T23:26:00Z</dcterms:created>
  <dcterms:modified xsi:type="dcterms:W3CDTF">2009-12-19T16:39:00Z</dcterms:modified>
</cp:coreProperties>
</file>